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F60" w:rsidRDefault="00862AF8">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bookmarkStart w:id="0" w:name="_GoBack"/>
      <w:bookmarkEnd w:id="0"/>
      <w:r>
        <w:rPr>
          <w:rFonts w:ascii="Verdana" w:hAnsi="Verdana" w:cs="Verdana"/>
          <w:b/>
          <w:bCs/>
          <w:sz w:val="22"/>
          <w:szCs w:val="22"/>
          <w:lang w:val="es-ES" w:eastAsia="es-ES"/>
        </w:rPr>
        <w:t>RESOLUCION N. TAT-3305-2017</w:t>
      </w:r>
    </w:p>
    <w:p w:rsidR="002D7F60" w:rsidRDefault="00862AF8">
      <w:pPr>
        <w:kinsoku w:val="0"/>
        <w:overflowPunct w:val="0"/>
        <w:autoSpaceDE/>
        <w:autoSpaceDN/>
        <w:adjustRightInd/>
        <w:spacing w:before="535" w:line="27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cincuenta y dos minutos del treinta y uno de agosto de dos mil diecisiete.</w:t>
      </w:r>
    </w:p>
    <w:p w:rsidR="002D7F60" w:rsidRDefault="00862AF8" w:rsidP="00565BCF">
      <w:pPr>
        <w:kinsoku w:val="0"/>
        <w:overflowPunct w:val="0"/>
        <w:autoSpaceDE/>
        <w:autoSpaceDN/>
        <w:adjustRightInd/>
        <w:spacing w:before="282" w:line="266" w:lineRule="exact"/>
        <w:ind w:right="144"/>
        <w:jc w:val="both"/>
        <w:textAlignment w:val="baseline"/>
        <w:rPr>
          <w:rFonts w:ascii="Verdana" w:hAnsi="Verdana" w:cs="Verdana"/>
          <w:b/>
          <w:bCs/>
          <w:sz w:val="22"/>
          <w:szCs w:val="22"/>
          <w:lang w:val="es-ES" w:eastAsia="es-ES"/>
        </w:rPr>
      </w:pPr>
      <w:r>
        <w:rPr>
          <w:rFonts w:ascii="Verdana" w:hAnsi="Verdana" w:cs="Verdana"/>
          <w:b/>
          <w:bCs/>
          <w:spacing w:val="-2"/>
          <w:sz w:val="18"/>
          <w:szCs w:val="18"/>
          <w:lang w:val="es-ES" w:eastAsia="es-ES"/>
        </w:rPr>
        <w:t xml:space="preserve">RECURSO DE APELACIÓN EN SUBSIDIO Y </w:t>
      </w:r>
      <w:r>
        <w:rPr>
          <w:rFonts w:ascii="Verdana" w:hAnsi="Verdana" w:cs="Verdana"/>
          <w:b/>
          <w:bCs/>
          <w:spacing w:val="-2"/>
          <w:sz w:val="22"/>
          <w:szCs w:val="22"/>
          <w:lang w:val="es-ES" w:eastAsia="es-ES"/>
        </w:rPr>
        <w:t xml:space="preserve">NULIDAD </w:t>
      </w:r>
      <w:r>
        <w:rPr>
          <w:rFonts w:ascii="Verdana" w:hAnsi="Verdana" w:cs="Verdana"/>
          <w:b/>
          <w:bCs/>
          <w:spacing w:val="-2"/>
          <w:sz w:val="18"/>
          <w:szCs w:val="18"/>
          <w:lang w:val="es-ES" w:eastAsia="es-ES"/>
        </w:rPr>
        <w:t xml:space="preserve">CONCOMITANTE, </w:t>
      </w:r>
      <w:r>
        <w:rPr>
          <w:rFonts w:ascii="Verdana" w:hAnsi="Verdana" w:cs="Verdana"/>
          <w:spacing w:val="-2"/>
          <w:sz w:val="22"/>
          <w:szCs w:val="22"/>
          <w:lang w:val="es-ES" w:eastAsia="es-ES"/>
        </w:rPr>
        <w:t xml:space="preserve">interpuesto por la señora </w:t>
      </w:r>
      <w:r>
        <w:rPr>
          <w:rFonts w:ascii="Verdana" w:hAnsi="Verdana" w:cs="Verdana"/>
          <w:b/>
          <w:bCs/>
          <w:spacing w:val="-2"/>
          <w:sz w:val="22"/>
          <w:szCs w:val="22"/>
          <w:lang w:val="es-ES" w:eastAsia="es-ES"/>
        </w:rPr>
        <w:t>S</w:t>
      </w:r>
      <w:r w:rsidR="00565BCF">
        <w:rPr>
          <w:rFonts w:ascii="Verdana" w:hAnsi="Verdana" w:cs="Verdana"/>
          <w:b/>
          <w:bCs/>
          <w:spacing w:val="-2"/>
          <w:sz w:val="22"/>
          <w:szCs w:val="22"/>
          <w:lang w:val="es-ES" w:eastAsia="es-ES"/>
        </w:rPr>
        <w:t>.S.C.M.</w:t>
      </w:r>
      <w:r>
        <w:rPr>
          <w:rFonts w:ascii="Verdana" w:hAnsi="Verdana" w:cs="Verdana"/>
          <w:b/>
          <w:bCs/>
          <w:spacing w:val="-2"/>
          <w:sz w:val="22"/>
          <w:szCs w:val="22"/>
          <w:lang w:val="es-ES" w:eastAsia="es-ES"/>
        </w:rPr>
        <w:t xml:space="preserve">, cédula de identidad </w:t>
      </w:r>
      <w:r w:rsidR="00565BCF">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y Y</w:t>
      </w:r>
      <w:r w:rsidR="00565BCF">
        <w:rPr>
          <w:rFonts w:ascii="Verdana" w:hAnsi="Verdana" w:cs="Verdana"/>
          <w:b/>
          <w:bCs/>
          <w:spacing w:val="-2"/>
          <w:sz w:val="22"/>
          <w:szCs w:val="22"/>
          <w:lang w:val="es-ES" w:eastAsia="es-ES"/>
        </w:rPr>
        <w:t>.I.M.M.</w:t>
      </w:r>
      <w:r>
        <w:rPr>
          <w:rFonts w:ascii="Verdana" w:hAnsi="Verdana" w:cs="Verdana"/>
          <w:b/>
          <w:bCs/>
          <w:spacing w:val="-2"/>
          <w:sz w:val="22"/>
          <w:szCs w:val="22"/>
          <w:lang w:val="es-ES" w:eastAsia="es-ES"/>
        </w:rPr>
        <w:t xml:space="preserve">, cédula de identidad </w:t>
      </w:r>
      <w:r w:rsidR="00565BCF">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18"/>
          <w:szCs w:val="18"/>
          <w:lang w:val="es-ES" w:eastAsia="es-ES"/>
        </w:rPr>
        <w:t xml:space="preserve">CONTRA </w:t>
      </w:r>
      <w:r>
        <w:rPr>
          <w:rFonts w:ascii="Verdana" w:hAnsi="Verdana" w:cs="Verdana"/>
          <w:spacing w:val="-2"/>
          <w:sz w:val="22"/>
          <w:szCs w:val="22"/>
          <w:lang w:val="es-ES" w:eastAsia="es-ES"/>
        </w:rPr>
        <w:t xml:space="preserve">el </w:t>
      </w:r>
      <w:r>
        <w:rPr>
          <w:rFonts w:ascii="Verdana" w:hAnsi="Verdana" w:cs="Verdana"/>
          <w:b/>
          <w:bCs/>
          <w:spacing w:val="-2"/>
          <w:sz w:val="22"/>
          <w:szCs w:val="22"/>
          <w:lang w:val="es-ES" w:eastAsia="es-ES"/>
        </w:rPr>
        <w:t>Artículo 7.5.1 de la Sesión Ordinaria 03-2017 de 1 de febrero de 2017</w:t>
      </w:r>
      <w:r w:rsidR="00565BCF">
        <w:rPr>
          <w:rFonts w:ascii="Verdana" w:hAnsi="Verdana" w:cs="Verdana"/>
          <w:b/>
          <w:bCs/>
          <w:spacing w:val="-2"/>
          <w:sz w:val="22"/>
          <w:szCs w:val="22"/>
          <w:lang w:val="es-ES" w:eastAsia="es-ES"/>
        </w:rPr>
        <w:t xml:space="preserve"> </w:t>
      </w:r>
      <w:r>
        <w:rPr>
          <w:rFonts w:ascii="Verdana" w:hAnsi="Verdana" w:cs="Verdana"/>
          <w:sz w:val="22"/>
          <w:szCs w:val="22"/>
          <w:lang w:val="es-ES" w:eastAsia="es-ES"/>
        </w:rPr>
        <w:t xml:space="preserve">dictado por </w:t>
      </w:r>
      <w:r>
        <w:rPr>
          <w:rFonts w:ascii="Verdana" w:hAnsi="Verdana" w:cs="Verdana"/>
          <w:sz w:val="18"/>
          <w:szCs w:val="18"/>
          <w:lang w:val="es-ES" w:eastAsia="es-ES"/>
        </w:rPr>
        <w:t xml:space="preserve">la JUNTA DIRECTIVA DEL CONSEJO DE TRANSPORTE PÚBLICO, </w:t>
      </w:r>
      <w:r>
        <w:rPr>
          <w:rFonts w:ascii="Verdana" w:hAnsi="Verdana" w:cs="Verdana"/>
          <w:sz w:val="22"/>
          <w:szCs w:val="22"/>
          <w:lang w:val="es-ES" w:eastAsia="es-ES"/>
        </w:rPr>
        <w:t xml:space="preserve">el que se sustentó en el </w:t>
      </w:r>
      <w:r w:rsidR="00565BCF">
        <w:rPr>
          <w:rFonts w:ascii="Verdana" w:hAnsi="Verdana" w:cs="Verdana"/>
          <w:b/>
          <w:bCs/>
          <w:sz w:val="22"/>
          <w:szCs w:val="22"/>
          <w:lang w:val="es-ES" w:eastAsia="es-ES"/>
        </w:rPr>
        <w:t>informe DAJ</w:t>
      </w:r>
      <w:r>
        <w:rPr>
          <w:rFonts w:ascii="Verdana" w:hAnsi="Verdana" w:cs="Verdana"/>
          <w:b/>
          <w:bCs/>
          <w:sz w:val="22"/>
          <w:szCs w:val="22"/>
          <w:lang w:val="es-ES" w:eastAsia="es-ES"/>
        </w:rPr>
        <w:t xml:space="preserve">-INF-2016-0113 del 17 de enero de 2017 de la Dirección de Asuntos Jurídicos del CTP, </w:t>
      </w:r>
      <w:r>
        <w:rPr>
          <w:rFonts w:ascii="Verdana" w:hAnsi="Verdana" w:cs="Verdana"/>
          <w:sz w:val="22"/>
          <w:szCs w:val="22"/>
          <w:lang w:val="es-ES" w:eastAsia="es-ES"/>
        </w:rPr>
        <w:t xml:space="preserve">el cual se recurre también. </w:t>
      </w:r>
      <w:r>
        <w:rPr>
          <w:rFonts w:ascii="Verdana" w:hAnsi="Verdana" w:cs="Verdana"/>
          <w:b/>
          <w:bCs/>
          <w:sz w:val="22"/>
          <w:szCs w:val="22"/>
          <w:lang w:val="es-ES" w:eastAsia="es-ES"/>
        </w:rPr>
        <w:t>EL caso es tramitado bajo Expediente Administrativo No. TAT-080-17.</w:t>
      </w:r>
    </w:p>
    <w:p w:rsidR="002D7F60" w:rsidRDefault="00862AF8">
      <w:pPr>
        <w:kinsoku w:val="0"/>
        <w:overflowPunct w:val="0"/>
        <w:autoSpaceDE/>
        <w:autoSpaceDN/>
        <w:adjustRightInd/>
        <w:spacing w:before="537"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2D7F60" w:rsidRDefault="00862AF8">
      <w:pPr>
        <w:kinsoku w:val="0"/>
        <w:overflowPunct w:val="0"/>
        <w:autoSpaceDE/>
        <w:autoSpaceDN/>
        <w:adjustRightInd/>
        <w:spacing w:before="578"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7.5.1 de la Sesión Ordinaria 03-2017 de 1 de febrero de 2017, </w:t>
      </w:r>
      <w:r>
        <w:rPr>
          <w:rFonts w:ascii="Verdana" w:hAnsi="Verdana" w:cs="Verdana"/>
          <w:i/>
          <w:iCs/>
          <w:sz w:val="22"/>
          <w:szCs w:val="22"/>
          <w:lang w:val="es-ES" w:eastAsia="es-ES"/>
        </w:rPr>
        <w:t xml:space="preserve">conoce </w:t>
      </w:r>
      <w:r>
        <w:rPr>
          <w:rFonts w:ascii="Verdana" w:hAnsi="Verdana" w:cs="Verdana"/>
          <w:sz w:val="22"/>
          <w:szCs w:val="22"/>
          <w:lang w:val="es-ES" w:eastAsia="es-ES"/>
        </w:rPr>
        <w:t xml:space="preserve">y </w:t>
      </w:r>
      <w:r>
        <w:rPr>
          <w:rFonts w:ascii="Verdana" w:hAnsi="Verdana" w:cs="Verdana"/>
          <w:i/>
          <w:iCs/>
          <w:sz w:val="22"/>
          <w:szCs w:val="22"/>
          <w:lang w:val="es-ES" w:eastAsia="es-ES"/>
        </w:rPr>
        <w:t xml:space="preserve">avala el </w:t>
      </w:r>
      <w:r>
        <w:rPr>
          <w:rFonts w:ascii="Verdana" w:hAnsi="Verdana" w:cs="Verdana"/>
          <w:b/>
          <w:bCs/>
          <w:sz w:val="22"/>
          <w:szCs w:val="22"/>
          <w:lang w:val="es-ES" w:eastAsia="es-ES"/>
        </w:rPr>
        <w:t xml:space="preserve">DAJ-INF-2016-0113 del 17 de enero de 2017, de la Dirección de Asuntos Jurídicos </w:t>
      </w:r>
      <w:r>
        <w:rPr>
          <w:rFonts w:ascii="Verdana" w:hAnsi="Verdana" w:cs="Verdana"/>
          <w:sz w:val="22"/>
          <w:szCs w:val="22"/>
          <w:lang w:val="es-ES" w:eastAsia="es-ES"/>
        </w:rPr>
        <w:t xml:space="preserve">y rechaza la solicitud formulada por la señora </w:t>
      </w:r>
      <w:r>
        <w:rPr>
          <w:rFonts w:ascii="Verdana" w:hAnsi="Verdana" w:cs="Verdana"/>
          <w:b/>
          <w:bCs/>
          <w:sz w:val="22"/>
          <w:szCs w:val="22"/>
          <w:lang w:val="es-ES" w:eastAsia="es-ES"/>
        </w:rPr>
        <w:t>S</w:t>
      </w:r>
      <w:r w:rsidR="00565BCF">
        <w:rPr>
          <w:rFonts w:ascii="Verdana" w:hAnsi="Verdana" w:cs="Verdana"/>
          <w:b/>
          <w:bCs/>
          <w:sz w:val="22"/>
          <w:szCs w:val="22"/>
          <w:lang w:val="es-ES" w:eastAsia="es-ES"/>
        </w:rPr>
        <w:t>.S.C.M.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para que le transfiriera la concesión del causante </w:t>
      </w:r>
      <w:r>
        <w:rPr>
          <w:rFonts w:ascii="Verdana" w:hAnsi="Verdana" w:cs="Verdana"/>
          <w:b/>
          <w:bCs/>
          <w:sz w:val="22"/>
          <w:szCs w:val="22"/>
          <w:lang w:val="es-ES" w:eastAsia="es-ES"/>
        </w:rPr>
        <w:t>R</w:t>
      </w:r>
      <w:r w:rsidR="00565BCF">
        <w:rPr>
          <w:rFonts w:ascii="Verdana" w:hAnsi="Verdana" w:cs="Verdana"/>
          <w:b/>
          <w:bCs/>
          <w:sz w:val="22"/>
          <w:szCs w:val="22"/>
          <w:lang w:val="es-ES" w:eastAsia="es-ES"/>
        </w:rPr>
        <w:t>.C.M.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 fuera concesionario de la placa de </w:t>
      </w:r>
      <w:r>
        <w:rPr>
          <w:rFonts w:ascii="Verdana" w:hAnsi="Verdana" w:cs="Verdana"/>
          <w:b/>
          <w:bCs/>
          <w:sz w:val="22"/>
          <w:szCs w:val="22"/>
          <w:lang w:val="es-ES" w:eastAsia="es-ES"/>
        </w:rPr>
        <w:t>Taxi TSJ-</w:t>
      </w:r>
      <w:r w:rsidR="00565BCF">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por no existir designación de beneficiario además de no haberse renovado la concesión y se determina cancelar la misma, por no cumplirse con lo determinado por Ley y estar vencida la concesión. (Léanse folios del 5 al 8 del expediente administrativo)</w:t>
      </w:r>
    </w:p>
    <w:p w:rsidR="002D7F60" w:rsidRDefault="00862AF8">
      <w:pPr>
        <w:kinsoku w:val="0"/>
        <w:overflowPunct w:val="0"/>
        <w:autoSpaceDE/>
        <w:autoSpaceDN/>
        <w:adjustRightInd/>
        <w:spacing w:before="302" w:after="653" w:line="266"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 xml:space="preserve">Las recurrentes impugnan el </w:t>
      </w:r>
      <w:r>
        <w:rPr>
          <w:rFonts w:ascii="Verdana" w:hAnsi="Verdana" w:cs="Verdana"/>
          <w:b/>
          <w:bCs/>
          <w:spacing w:val="-1"/>
          <w:sz w:val="22"/>
          <w:szCs w:val="22"/>
          <w:lang w:val="es-ES" w:eastAsia="es-ES"/>
        </w:rPr>
        <w:t xml:space="preserve">Artículo 7.5.1 de la Sesión Ordinaria 03-2017 de 1 de febrero de 2017, y </w:t>
      </w:r>
      <w:r>
        <w:rPr>
          <w:rFonts w:ascii="Verdana" w:hAnsi="Verdana" w:cs="Verdana"/>
          <w:i/>
          <w:iCs/>
          <w:spacing w:val="-1"/>
          <w:sz w:val="22"/>
          <w:szCs w:val="22"/>
          <w:lang w:val="es-ES" w:eastAsia="es-ES"/>
        </w:rPr>
        <w:t xml:space="preserve">el </w:t>
      </w:r>
      <w:r>
        <w:rPr>
          <w:rFonts w:ascii="Verdana" w:hAnsi="Verdana" w:cs="Verdana"/>
          <w:b/>
          <w:bCs/>
          <w:spacing w:val="-1"/>
          <w:sz w:val="22"/>
          <w:szCs w:val="22"/>
          <w:lang w:val="es-ES" w:eastAsia="es-ES"/>
        </w:rPr>
        <w:t xml:space="preserve">DAJ-INF-2016-0113, de la Dirección de Asuntos Jurídicos, </w:t>
      </w:r>
      <w:r>
        <w:rPr>
          <w:rFonts w:ascii="Verdana" w:hAnsi="Verdana" w:cs="Verdana"/>
          <w:spacing w:val="-1"/>
          <w:sz w:val="22"/>
          <w:szCs w:val="22"/>
          <w:lang w:val="es-ES" w:eastAsia="es-ES"/>
        </w:rPr>
        <w:t xml:space="preserve">refiriendo que se apersonan a solicitar el traspaso de la concesión no en nombre propio sino de la heredera que cumple con todos los requisitos, la señora </w:t>
      </w:r>
      <w:r>
        <w:rPr>
          <w:rFonts w:ascii="Verdana" w:hAnsi="Verdana" w:cs="Verdana"/>
          <w:b/>
          <w:bCs/>
          <w:spacing w:val="-1"/>
          <w:sz w:val="22"/>
          <w:szCs w:val="22"/>
          <w:lang w:val="es-ES" w:eastAsia="es-ES"/>
        </w:rPr>
        <w:t>Y</w:t>
      </w:r>
      <w:r w:rsidR="00565BCF">
        <w:rPr>
          <w:rFonts w:ascii="Verdana" w:hAnsi="Verdana" w:cs="Verdana"/>
          <w:b/>
          <w:bCs/>
          <w:spacing w:val="-1"/>
          <w:sz w:val="22"/>
          <w:szCs w:val="22"/>
          <w:lang w:val="es-ES" w:eastAsia="es-ES"/>
        </w:rPr>
        <w:t>.I.M.M.</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quien fue declarada así en proceso sucesorio 14-000-692-0164-CI-6 y que este es un requisito que la misma página del CTP determina que debe presentarse. Que por tal motivo se apersona a recurrir el oficio </w:t>
      </w:r>
      <w:r>
        <w:rPr>
          <w:rFonts w:ascii="Verdana" w:hAnsi="Verdana" w:cs="Verdana"/>
          <w:b/>
          <w:bCs/>
          <w:spacing w:val="-1"/>
          <w:sz w:val="22"/>
          <w:szCs w:val="22"/>
          <w:lang w:val="es-ES" w:eastAsia="es-ES"/>
        </w:rPr>
        <w:t xml:space="preserve">DAJ-INF-2016-0113 del 17 de enero de 2017, de la Dirección de Asuntos Jurídicos, (el cual es el sustento técnico del acuerdo indicado supra mismo que se tiene por recurrido en virtud del principio de informalismo) </w:t>
      </w:r>
      <w:r>
        <w:rPr>
          <w:rFonts w:ascii="Verdana" w:hAnsi="Verdana" w:cs="Verdana"/>
          <w:spacing w:val="-1"/>
          <w:sz w:val="22"/>
          <w:szCs w:val="22"/>
          <w:lang w:val="es-ES" w:eastAsia="es-ES"/>
        </w:rPr>
        <w:t>pues dicha Dirección</w:t>
      </w:r>
    </w:p>
    <w:p w:rsidR="002D7F60" w:rsidRDefault="002D7F60">
      <w:pPr>
        <w:widowControl/>
        <w:rPr>
          <w:sz w:val="24"/>
          <w:szCs w:val="24"/>
        </w:rPr>
        <w:sectPr w:rsidR="002D7F60">
          <w:pgSz w:w="12134" w:h="15840"/>
          <w:pgMar w:top="1540" w:right="1279" w:bottom="210" w:left="1795" w:header="720" w:footer="720" w:gutter="0"/>
          <w:cols w:space="720"/>
          <w:noEndnote/>
        </w:sectPr>
      </w:pPr>
    </w:p>
    <w:p w:rsidR="002D7F60" w:rsidRDefault="002D7F60">
      <w:pPr>
        <w:widowControl/>
        <w:rPr>
          <w:sz w:val="24"/>
          <w:szCs w:val="24"/>
        </w:rPr>
        <w:sectPr w:rsidR="002D7F60">
          <w:type w:val="continuous"/>
          <w:pgSz w:w="12134" w:h="15840"/>
          <w:pgMar w:top="1540" w:right="1406" w:bottom="210" w:left="7488" w:header="720" w:footer="720" w:gutter="0"/>
          <w:cols w:space="720"/>
          <w:noEndnote/>
        </w:sectPr>
      </w:pPr>
    </w:p>
    <w:p w:rsidR="002D7F60" w:rsidRDefault="00862AF8">
      <w:pPr>
        <w:kinsoku w:val="0"/>
        <w:overflowPunct w:val="0"/>
        <w:autoSpaceDE/>
        <w:autoSpaceDN/>
        <w:adjustRightInd/>
        <w:spacing w:before="55" w:line="268"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indica que </w:t>
      </w:r>
      <w:r>
        <w:rPr>
          <w:rFonts w:ascii="Verdana" w:hAnsi="Verdana" w:cs="Verdana"/>
          <w:b/>
          <w:bCs/>
          <w:sz w:val="21"/>
          <w:szCs w:val="21"/>
          <w:lang w:val="es-ES" w:eastAsia="es-ES"/>
        </w:rPr>
        <w:t>la señora S</w:t>
      </w:r>
      <w:r w:rsidR="00565BCF">
        <w:rPr>
          <w:rFonts w:ascii="Verdana" w:hAnsi="Verdana" w:cs="Verdana"/>
          <w:b/>
          <w:bCs/>
          <w:sz w:val="21"/>
          <w:szCs w:val="21"/>
          <w:lang w:val="es-ES" w:eastAsia="es-ES"/>
        </w:rPr>
        <w:t>.S.C.M.</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solicita el traspaso de la concesión a su persona, cuando en la realidad no es </w:t>
      </w:r>
      <w:proofErr w:type="gramStart"/>
      <w:r>
        <w:rPr>
          <w:rFonts w:ascii="Verdana" w:hAnsi="Verdana" w:cs="Verdana"/>
          <w:sz w:val="21"/>
          <w:szCs w:val="21"/>
          <w:lang w:val="es-ES" w:eastAsia="es-ES"/>
        </w:rPr>
        <w:t>así</w:t>
      </w:r>
      <w:proofErr w:type="gramEnd"/>
      <w:r>
        <w:rPr>
          <w:rFonts w:ascii="Verdana" w:hAnsi="Verdana" w:cs="Verdana"/>
          <w:sz w:val="21"/>
          <w:szCs w:val="21"/>
          <w:lang w:val="es-ES" w:eastAsia="es-ES"/>
        </w:rPr>
        <w:t xml:space="preserve"> sino que se hizo en favor de la señora </w:t>
      </w:r>
      <w:r>
        <w:rPr>
          <w:rFonts w:ascii="Verdana" w:hAnsi="Verdana" w:cs="Verdana"/>
          <w:b/>
          <w:bCs/>
          <w:sz w:val="21"/>
          <w:szCs w:val="21"/>
          <w:lang w:val="es-ES" w:eastAsia="es-ES"/>
        </w:rPr>
        <w:t>Y</w:t>
      </w:r>
      <w:r w:rsidR="00565BCF">
        <w:rPr>
          <w:rFonts w:ascii="Verdana" w:hAnsi="Verdana" w:cs="Verdana"/>
          <w:b/>
          <w:bCs/>
          <w:sz w:val="21"/>
          <w:szCs w:val="21"/>
          <w:lang w:val="es-ES" w:eastAsia="es-ES"/>
        </w:rPr>
        <w:t>.M.M.</w:t>
      </w:r>
      <w:r>
        <w:rPr>
          <w:rFonts w:ascii="Verdana" w:hAnsi="Verdana" w:cs="Verdana"/>
          <w:b/>
          <w:bCs/>
          <w:sz w:val="21"/>
          <w:szCs w:val="21"/>
          <w:lang w:val="es-ES" w:eastAsia="es-ES"/>
        </w:rPr>
        <w:t xml:space="preserve">, </w:t>
      </w:r>
      <w:r>
        <w:rPr>
          <w:rFonts w:ascii="Verdana" w:hAnsi="Verdana" w:cs="Verdana"/>
          <w:sz w:val="21"/>
          <w:szCs w:val="21"/>
          <w:lang w:val="es-ES" w:eastAsia="es-ES"/>
        </w:rPr>
        <w:t>quien ha sido declarada única heredera de la concesión de la placa de taxi TSJ-</w:t>
      </w:r>
      <w:r w:rsidR="00565BCF">
        <w:rPr>
          <w:rFonts w:ascii="Verdana" w:hAnsi="Verdana" w:cs="Verdana"/>
          <w:sz w:val="21"/>
          <w:szCs w:val="21"/>
          <w:lang w:val="es-ES" w:eastAsia="es-ES"/>
        </w:rPr>
        <w:t>XXXX</w:t>
      </w:r>
      <w:r>
        <w:rPr>
          <w:rFonts w:ascii="Verdana" w:hAnsi="Verdana" w:cs="Verdana"/>
          <w:sz w:val="21"/>
          <w:szCs w:val="21"/>
          <w:lang w:val="es-ES" w:eastAsia="es-ES"/>
        </w:rPr>
        <w:t>. Solicita se proceda con el traspaso de la concesión ya que cumplieron con todos los requisitos que se les solicitaron. (Léanse folios 10 al 12 del expediente administrativo).</w:t>
      </w:r>
    </w:p>
    <w:p w:rsidR="002D7F60" w:rsidRDefault="00862AF8">
      <w:pPr>
        <w:kinsoku w:val="0"/>
        <w:overflowPunct w:val="0"/>
        <w:autoSpaceDE/>
        <w:autoSpaceDN/>
        <w:adjustRightInd/>
        <w:spacing w:before="530" w:line="268" w:lineRule="exact"/>
        <w:ind w:left="72" w:right="144"/>
        <w:jc w:val="both"/>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 xml:space="preserve">TERCERO: </w:t>
      </w:r>
      <w:r>
        <w:rPr>
          <w:rFonts w:ascii="Verdana" w:hAnsi="Verdana" w:cs="Verdana"/>
          <w:spacing w:val="3"/>
          <w:sz w:val="21"/>
          <w:szCs w:val="21"/>
          <w:lang w:val="es-ES" w:eastAsia="es-ES"/>
        </w:rPr>
        <w:t xml:space="preserve">La Junta Directiva del Consejo de Transporte Público mediante </w:t>
      </w:r>
      <w:r>
        <w:rPr>
          <w:rFonts w:ascii="Verdana" w:hAnsi="Verdana" w:cs="Verdana"/>
          <w:b/>
          <w:bCs/>
          <w:spacing w:val="3"/>
          <w:sz w:val="21"/>
          <w:szCs w:val="21"/>
          <w:lang w:val="es-ES" w:eastAsia="es-ES"/>
        </w:rPr>
        <w:t xml:space="preserve">Artículo 7.5.4 de la Sesión Ordinaria 25-2017 de 21 de junio de 2017, </w:t>
      </w:r>
      <w:r>
        <w:rPr>
          <w:rFonts w:ascii="Verdana" w:hAnsi="Verdana" w:cs="Verdana"/>
          <w:spacing w:val="3"/>
          <w:sz w:val="21"/>
          <w:szCs w:val="21"/>
          <w:lang w:val="es-ES" w:eastAsia="es-ES"/>
        </w:rPr>
        <w:t xml:space="preserve">aprueba el informe de la </w:t>
      </w:r>
      <w:r>
        <w:rPr>
          <w:rFonts w:ascii="Verdana" w:hAnsi="Verdana" w:cs="Verdana"/>
          <w:b/>
          <w:bCs/>
          <w:spacing w:val="3"/>
          <w:sz w:val="21"/>
          <w:szCs w:val="21"/>
          <w:lang w:val="es-ES" w:eastAsia="es-ES"/>
        </w:rPr>
        <w:t xml:space="preserve">Dirección de Asuntos Jurídicos el DAJ-2017-001546 de 12 de junio de 2017 </w:t>
      </w:r>
      <w:r>
        <w:rPr>
          <w:rFonts w:ascii="Verdana" w:hAnsi="Verdana" w:cs="Verdana"/>
          <w:spacing w:val="3"/>
          <w:sz w:val="21"/>
          <w:szCs w:val="21"/>
          <w:lang w:val="es-ES" w:eastAsia="es-ES"/>
        </w:rPr>
        <w:t xml:space="preserve">y rechaza el Recurso de Revocatoria por considerar que se mantienen los presupuestos que determinaron el rechazo de la solicitud mediante </w:t>
      </w:r>
      <w:r>
        <w:rPr>
          <w:rFonts w:ascii="Verdana" w:hAnsi="Verdana" w:cs="Verdana"/>
          <w:b/>
          <w:bCs/>
          <w:spacing w:val="3"/>
          <w:sz w:val="21"/>
          <w:szCs w:val="21"/>
          <w:lang w:val="es-ES" w:eastAsia="es-ES"/>
        </w:rPr>
        <w:t xml:space="preserve">7.5.1 de la Sesión Ordinaria 03-2017 de 1 de febrero de 2017 el cual se impugna. </w:t>
      </w:r>
      <w:r>
        <w:rPr>
          <w:rFonts w:ascii="Verdana" w:hAnsi="Verdana" w:cs="Verdana"/>
          <w:spacing w:val="3"/>
          <w:sz w:val="21"/>
          <w:szCs w:val="21"/>
          <w:lang w:val="es-ES" w:eastAsia="es-ES"/>
        </w:rPr>
        <w:t>(Léase folios del 1 al 7 del expediente administrativo).</w:t>
      </w:r>
    </w:p>
    <w:p w:rsidR="002D7F60" w:rsidRDefault="00862AF8">
      <w:pPr>
        <w:kinsoku w:val="0"/>
        <w:overflowPunct w:val="0"/>
        <w:autoSpaceDE/>
        <w:autoSpaceDN/>
        <w:adjustRightInd/>
        <w:spacing w:before="283" w:line="268" w:lineRule="exact"/>
        <w:ind w:left="72"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 xml:space="preserve">Mediante oficio </w:t>
      </w:r>
      <w:r>
        <w:rPr>
          <w:rFonts w:ascii="Verdana" w:hAnsi="Verdana" w:cs="Verdana"/>
          <w:b/>
          <w:bCs/>
          <w:sz w:val="21"/>
          <w:szCs w:val="21"/>
          <w:lang w:val="es-ES" w:eastAsia="es-ES"/>
        </w:rPr>
        <w:t xml:space="preserve">DAJ- 2016-003888 del 14 de noviembre de 2016, la Dirección de Asuntos Jurídicos del CTP, </w:t>
      </w:r>
      <w:r>
        <w:rPr>
          <w:rFonts w:ascii="Verdana" w:hAnsi="Verdana" w:cs="Verdana"/>
          <w:sz w:val="21"/>
          <w:szCs w:val="21"/>
          <w:lang w:val="es-ES" w:eastAsia="es-ES"/>
        </w:rPr>
        <w:t xml:space="preserve">solicita a la señora Ana Lucía González Zumbado del Departamento de Administración de Concesiones, se indique si consta en documentos por archivar la designación de beneficiario de la </w:t>
      </w:r>
      <w:r>
        <w:rPr>
          <w:rFonts w:ascii="Verdana" w:hAnsi="Verdana" w:cs="Verdana"/>
          <w:b/>
          <w:bCs/>
          <w:sz w:val="21"/>
          <w:szCs w:val="21"/>
          <w:lang w:val="es-ES" w:eastAsia="es-ES"/>
        </w:rPr>
        <w:t>Placa de Taxi TSJ-</w:t>
      </w:r>
      <w:r w:rsidR="00565BCF">
        <w:rPr>
          <w:rFonts w:ascii="Verdana" w:hAnsi="Verdana" w:cs="Verdana"/>
          <w:b/>
          <w:bCs/>
          <w:sz w:val="21"/>
          <w:szCs w:val="21"/>
          <w:lang w:val="es-ES" w:eastAsia="es-ES"/>
        </w:rPr>
        <w:t>XXXX,</w:t>
      </w:r>
      <w:r>
        <w:rPr>
          <w:rFonts w:ascii="Verdana" w:hAnsi="Verdana" w:cs="Verdana"/>
          <w:b/>
          <w:bCs/>
          <w:sz w:val="21"/>
          <w:szCs w:val="21"/>
          <w:lang w:val="es-ES" w:eastAsia="es-ES"/>
        </w:rPr>
        <w:t xml:space="preserve"> del concesionario R</w:t>
      </w:r>
      <w:r w:rsidR="00565BCF">
        <w:rPr>
          <w:rFonts w:ascii="Verdana" w:hAnsi="Verdana" w:cs="Verdana"/>
          <w:b/>
          <w:bCs/>
          <w:sz w:val="21"/>
          <w:szCs w:val="21"/>
          <w:lang w:val="es-ES" w:eastAsia="es-ES"/>
        </w:rPr>
        <w:t>.C.M.</w:t>
      </w:r>
      <w:r>
        <w:rPr>
          <w:rFonts w:ascii="Verdana" w:hAnsi="Verdana" w:cs="Verdana"/>
          <w:b/>
          <w:bCs/>
          <w:sz w:val="21"/>
          <w:szCs w:val="21"/>
          <w:lang w:val="es-ES" w:eastAsia="es-ES"/>
        </w:rPr>
        <w:t xml:space="preserve"> </w:t>
      </w:r>
      <w:r>
        <w:rPr>
          <w:rFonts w:ascii="Verdana" w:hAnsi="Verdana" w:cs="Verdana"/>
          <w:sz w:val="21"/>
          <w:szCs w:val="21"/>
          <w:lang w:val="es-ES" w:eastAsia="es-ES"/>
        </w:rPr>
        <w:t>(Léase folio 76 del expediente administrativo)</w:t>
      </w:r>
    </w:p>
    <w:p w:rsidR="002D7F60" w:rsidRDefault="00862AF8">
      <w:pPr>
        <w:kinsoku w:val="0"/>
        <w:overflowPunct w:val="0"/>
        <w:autoSpaceDE/>
        <w:autoSpaceDN/>
        <w:adjustRightInd/>
        <w:spacing w:before="289" w:line="268" w:lineRule="exact"/>
        <w:ind w:left="72" w:right="144"/>
        <w:jc w:val="both"/>
        <w:textAlignment w:val="baseline"/>
        <w:rPr>
          <w:rFonts w:ascii="Verdana" w:hAnsi="Verdana" w:cs="Verdana"/>
          <w:spacing w:val="5"/>
          <w:sz w:val="21"/>
          <w:szCs w:val="21"/>
          <w:lang w:val="es-ES" w:eastAsia="es-ES"/>
        </w:rPr>
      </w:pPr>
      <w:r>
        <w:rPr>
          <w:rFonts w:ascii="Verdana" w:hAnsi="Verdana" w:cs="Verdana"/>
          <w:b/>
          <w:bCs/>
          <w:spacing w:val="5"/>
          <w:sz w:val="21"/>
          <w:szCs w:val="21"/>
          <w:lang w:val="es-ES" w:eastAsia="es-ES"/>
        </w:rPr>
        <w:t xml:space="preserve">QUINTO: </w:t>
      </w:r>
      <w:r>
        <w:rPr>
          <w:rFonts w:ascii="Verdana" w:hAnsi="Verdana" w:cs="Verdana"/>
          <w:spacing w:val="5"/>
          <w:sz w:val="21"/>
          <w:szCs w:val="21"/>
          <w:lang w:val="es-ES" w:eastAsia="es-ES"/>
        </w:rPr>
        <w:t xml:space="preserve">El Consejo de Transporte Público eleva a este Tribunal el expediente de la concesión de la placa de </w:t>
      </w:r>
      <w:r w:rsidR="00565BCF">
        <w:rPr>
          <w:rFonts w:ascii="Verdana" w:hAnsi="Verdana" w:cs="Verdana"/>
          <w:b/>
          <w:bCs/>
          <w:spacing w:val="5"/>
          <w:sz w:val="21"/>
          <w:szCs w:val="21"/>
          <w:lang w:val="es-ES" w:eastAsia="es-ES"/>
        </w:rPr>
        <w:t>Taxi TSJ</w:t>
      </w:r>
      <w:r>
        <w:rPr>
          <w:rFonts w:ascii="Verdana" w:hAnsi="Verdana" w:cs="Verdana"/>
          <w:b/>
          <w:bCs/>
          <w:spacing w:val="5"/>
          <w:sz w:val="21"/>
          <w:szCs w:val="21"/>
          <w:lang w:val="es-ES" w:eastAsia="es-ES"/>
        </w:rPr>
        <w:t>-</w:t>
      </w:r>
      <w:r w:rsidR="00565BCF">
        <w:rPr>
          <w:rFonts w:ascii="Verdana" w:hAnsi="Verdana" w:cs="Verdana"/>
          <w:b/>
          <w:bCs/>
          <w:spacing w:val="5"/>
          <w:sz w:val="21"/>
          <w:szCs w:val="21"/>
          <w:lang w:val="es-ES" w:eastAsia="es-ES"/>
        </w:rPr>
        <w:t>XXXX</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y en fotocopia visible a folio 73 del expediente consta comunicación de correo que envía el señor R</w:t>
      </w:r>
      <w:r w:rsidR="00565BCF">
        <w:rPr>
          <w:rFonts w:ascii="Verdana" w:hAnsi="Verdana" w:cs="Verdana"/>
          <w:spacing w:val="5"/>
          <w:sz w:val="21"/>
          <w:szCs w:val="21"/>
          <w:lang w:val="es-ES" w:eastAsia="es-ES"/>
        </w:rPr>
        <w:t>.B.A.</w:t>
      </w:r>
      <w:r>
        <w:rPr>
          <w:rFonts w:ascii="Verdana" w:hAnsi="Verdana" w:cs="Verdana"/>
          <w:spacing w:val="5"/>
          <w:sz w:val="21"/>
          <w:szCs w:val="21"/>
          <w:lang w:val="es-ES" w:eastAsia="es-ES"/>
        </w:rPr>
        <w:t xml:space="preserve"> (No se indica de que departamento) dirigido a la </w:t>
      </w:r>
      <w:proofErr w:type="spellStart"/>
      <w:r>
        <w:rPr>
          <w:rFonts w:ascii="Verdana" w:hAnsi="Verdana" w:cs="Verdana"/>
          <w:spacing w:val="5"/>
          <w:sz w:val="21"/>
          <w:szCs w:val="21"/>
          <w:lang w:val="es-ES" w:eastAsia="es-ES"/>
        </w:rPr>
        <w:t>Licda</w:t>
      </w:r>
      <w:proofErr w:type="spellEnd"/>
      <w:r>
        <w:rPr>
          <w:rFonts w:ascii="Verdana" w:hAnsi="Verdana" w:cs="Verdana"/>
          <w:spacing w:val="5"/>
          <w:sz w:val="21"/>
          <w:szCs w:val="21"/>
          <w:lang w:val="es-ES" w:eastAsia="es-ES"/>
        </w:rPr>
        <w:t xml:space="preserve"> Sara Castillo Salazar de la Asesoría Jurídica del CTP, en el que le indica que en respuesta a su oficio </w:t>
      </w:r>
      <w:r>
        <w:rPr>
          <w:rFonts w:ascii="Verdana" w:hAnsi="Verdana" w:cs="Verdana"/>
          <w:b/>
          <w:bCs/>
          <w:spacing w:val="5"/>
          <w:sz w:val="21"/>
          <w:szCs w:val="21"/>
          <w:lang w:val="es-ES" w:eastAsia="es-ES"/>
        </w:rPr>
        <w:t xml:space="preserve">DAJ-2016-3888, </w:t>
      </w:r>
      <w:r>
        <w:rPr>
          <w:rFonts w:ascii="Verdana" w:hAnsi="Verdana" w:cs="Verdana"/>
          <w:spacing w:val="5"/>
          <w:sz w:val="21"/>
          <w:szCs w:val="21"/>
          <w:lang w:val="es-ES" w:eastAsia="es-ES"/>
        </w:rPr>
        <w:t>revisados los archivos documentales no se encuentra designación de beneficiario de la concesión de marras.</w:t>
      </w:r>
    </w:p>
    <w:p w:rsidR="002D7F60" w:rsidRDefault="00862AF8">
      <w:pPr>
        <w:kinsoku w:val="0"/>
        <w:overflowPunct w:val="0"/>
        <w:autoSpaceDE/>
        <w:autoSpaceDN/>
        <w:adjustRightInd/>
        <w:spacing w:before="253" w:line="274" w:lineRule="exact"/>
        <w:ind w:left="72"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 xml:space="preserve">Según copia de certificación del Registro Civil, el señor </w:t>
      </w:r>
      <w:r>
        <w:rPr>
          <w:rFonts w:ascii="Verdana" w:hAnsi="Verdana" w:cs="Verdana"/>
          <w:b/>
          <w:bCs/>
          <w:sz w:val="21"/>
          <w:szCs w:val="21"/>
          <w:lang w:val="es-ES" w:eastAsia="es-ES"/>
        </w:rPr>
        <w:t>R</w:t>
      </w:r>
      <w:r w:rsidR="00565BCF">
        <w:rPr>
          <w:rFonts w:ascii="Verdana" w:hAnsi="Verdana" w:cs="Verdana"/>
          <w:b/>
          <w:bCs/>
          <w:sz w:val="21"/>
          <w:szCs w:val="21"/>
          <w:lang w:val="es-ES" w:eastAsia="es-ES"/>
        </w:rPr>
        <w:t>.D.L.C.M.</w:t>
      </w:r>
      <w:r>
        <w:rPr>
          <w:rFonts w:ascii="Verdana" w:hAnsi="Verdana" w:cs="Verdana"/>
          <w:b/>
          <w:bCs/>
          <w:sz w:val="21"/>
          <w:szCs w:val="21"/>
          <w:lang w:val="es-ES" w:eastAsia="es-ES"/>
        </w:rPr>
        <w:t xml:space="preserve">, murió en Alajuelita San José el 15 de octubre de 2014. </w:t>
      </w:r>
      <w:r>
        <w:rPr>
          <w:rFonts w:ascii="Verdana" w:hAnsi="Verdana" w:cs="Verdana"/>
          <w:sz w:val="21"/>
          <w:szCs w:val="21"/>
          <w:lang w:val="es-ES" w:eastAsia="es-ES"/>
        </w:rPr>
        <w:t>(Léase folio 88 del expediente administrativo)</w:t>
      </w:r>
    </w:p>
    <w:p w:rsidR="002D7F60" w:rsidRDefault="00862AF8">
      <w:pPr>
        <w:kinsoku w:val="0"/>
        <w:overflowPunct w:val="0"/>
        <w:autoSpaceDE/>
        <w:autoSpaceDN/>
        <w:adjustRightInd/>
        <w:spacing w:before="259" w:line="276" w:lineRule="exact"/>
        <w:ind w:left="72"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SETIMO: </w:t>
      </w:r>
      <w:r>
        <w:rPr>
          <w:rFonts w:ascii="Verdana" w:hAnsi="Verdana" w:cs="Verdana"/>
          <w:sz w:val="21"/>
          <w:szCs w:val="21"/>
          <w:lang w:val="es-ES" w:eastAsia="es-ES"/>
        </w:rPr>
        <w:t>En los procedimientos seguidos se han observado las prescripciones legales.</w:t>
      </w:r>
    </w:p>
    <w:p w:rsidR="002D7F60" w:rsidRDefault="00862AF8">
      <w:pPr>
        <w:kinsoku w:val="0"/>
        <w:overflowPunct w:val="0"/>
        <w:autoSpaceDE/>
        <w:autoSpaceDN/>
        <w:adjustRightInd/>
        <w:spacing w:before="266" w:line="260" w:lineRule="exact"/>
        <w:ind w:left="72"/>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Redacta la Jueza Pérez Peláez.</w:t>
      </w:r>
    </w:p>
    <w:p w:rsidR="002D7F60" w:rsidRDefault="00862AF8">
      <w:pPr>
        <w:kinsoku w:val="0"/>
        <w:overflowPunct w:val="0"/>
        <w:autoSpaceDE/>
        <w:autoSpaceDN/>
        <w:adjustRightInd/>
        <w:spacing w:before="521" w:line="271" w:lineRule="exact"/>
        <w:ind w:left="72"/>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CONSIDERANDO ÚNICO</w:t>
      </w:r>
    </w:p>
    <w:p w:rsidR="002D7F60" w:rsidRDefault="00862AF8">
      <w:pPr>
        <w:kinsoku w:val="0"/>
        <w:overflowPunct w:val="0"/>
        <w:autoSpaceDE/>
        <w:autoSpaceDN/>
        <w:adjustRightInd/>
        <w:spacing w:before="537" w:after="600" w:line="268" w:lineRule="exact"/>
        <w:ind w:left="72"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El TRIBUNAL ADMINISTRATIVO DE TRANSPORTE es el competente para conocer y resolver el presente RECURSO DE APELACIÓN EN SUBSIDIO, De conformidad con el Artículo 22 de la Ley Reguladora del Servicio</w:t>
      </w:r>
    </w:p>
    <w:p w:rsidR="002D7F60" w:rsidRDefault="002D7F60">
      <w:pPr>
        <w:widowControl/>
        <w:rPr>
          <w:sz w:val="24"/>
          <w:szCs w:val="24"/>
        </w:rPr>
        <w:sectPr w:rsidR="002D7F60">
          <w:pgSz w:w="12134" w:h="15840"/>
          <w:pgMar w:top="1380" w:right="1457" w:bottom="244" w:left="1617" w:header="720" w:footer="720" w:gutter="0"/>
          <w:cols w:space="720"/>
          <w:noEndnote/>
        </w:sectPr>
      </w:pPr>
    </w:p>
    <w:p w:rsidR="002D7F60" w:rsidRDefault="002D7F60">
      <w:pPr>
        <w:widowControl/>
        <w:rPr>
          <w:sz w:val="24"/>
          <w:szCs w:val="24"/>
        </w:rPr>
        <w:sectPr w:rsidR="002D7F60">
          <w:type w:val="continuous"/>
          <w:pgSz w:w="12134" w:h="15840"/>
          <w:pgMar w:top="1380" w:right="2123" w:bottom="244" w:left="6771" w:header="720" w:footer="720" w:gutter="0"/>
          <w:cols w:space="720"/>
          <w:noEndnote/>
        </w:sectPr>
      </w:pPr>
    </w:p>
    <w:p w:rsidR="002D7F60" w:rsidRDefault="00862AF8">
      <w:pPr>
        <w:kinsoku w:val="0"/>
        <w:overflowPunct w:val="0"/>
        <w:autoSpaceDE/>
        <w:autoSpaceDN/>
        <w:adjustRightInd/>
        <w:spacing w:before="1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Público de Transporte Remunerado de Personas en Vehículos en la Modalidad de Taxi, N. 7969 del 22 de diciembre de 1999.</w:t>
      </w:r>
    </w:p>
    <w:p w:rsidR="002D7F60" w:rsidRDefault="00862AF8">
      <w:pPr>
        <w:kinsoku w:val="0"/>
        <w:overflowPunct w:val="0"/>
        <w:autoSpaceDE/>
        <w:autoSpaceDN/>
        <w:adjustRightInd/>
        <w:spacing w:before="541" w:line="263"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LA ADMISIBILIDAD DEL RECURSO:</w:t>
      </w:r>
    </w:p>
    <w:p w:rsidR="002D7F60" w:rsidRDefault="00862AF8">
      <w:pPr>
        <w:kinsoku w:val="0"/>
        <w:overflowPunct w:val="0"/>
        <w:autoSpaceDE/>
        <w:autoSpaceDN/>
        <w:adjustRightInd/>
        <w:spacing w:before="320"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Las señoras </w:t>
      </w:r>
      <w:r>
        <w:rPr>
          <w:rFonts w:ascii="Verdana" w:hAnsi="Verdana" w:cs="Verdana"/>
          <w:b/>
          <w:bCs/>
          <w:sz w:val="22"/>
          <w:szCs w:val="22"/>
          <w:lang w:val="es-ES" w:eastAsia="es-ES"/>
        </w:rPr>
        <w:t>S</w:t>
      </w:r>
      <w:r w:rsidR="00565BCF">
        <w:rPr>
          <w:rFonts w:ascii="Verdana" w:hAnsi="Verdana" w:cs="Verdana"/>
          <w:b/>
          <w:bCs/>
          <w:sz w:val="22"/>
          <w:szCs w:val="22"/>
          <w:lang w:val="es-ES" w:eastAsia="es-ES"/>
        </w:rPr>
        <w:t>.S.C.M.</w:t>
      </w:r>
      <w:r>
        <w:rPr>
          <w:rFonts w:ascii="Verdana" w:hAnsi="Verdana" w:cs="Verdana"/>
          <w:b/>
          <w:bCs/>
          <w:sz w:val="22"/>
          <w:szCs w:val="22"/>
          <w:lang w:val="es-ES" w:eastAsia="es-ES"/>
        </w:rPr>
        <w:t xml:space="preserve">, cédula de identidad </w:t>
      </w:r>
      <w:r w:rsidR="00565BCF">
        <w:rPr>
          <w:rFonts w:ascii="Verdana" w:hAnsi="Verdana" w:cs="Verdana"/>
          <w:b/>
          <w:bCs/>
          <w:sz w:val="22"/>
          <w:szCs w:val="22"/>
          <w:lang w:val="es-ES" w:eastAsia="es-ES"/>
        </w:rPr>
        <w:t>…</w:t>
      </w:r>
      <w:r>
        <w:rPr>
          <w:rFonts w:ascii="Verdana" w:hAnsi="Verdana" w:cs="Verdana"/>
          <w:b/>
          <w:bCs/>
          <w:sz w:val="22"/>
          <w:szCs w:val="22"/>
          <w:lang w:val="es-ES" w:eastAsia="es-ES"/>
        </w:rPr>
        <w:t xml:space="preserve"> y Y</w:t>
      </w:r>
      <w:r w:rsidR="00565BCF">
        <w:rPr>
          <w:rFonts w:ascii="Verdana" w:hAnsi="Verdana" w:cs="Verdana"/>
          <w:b/>
          <w:bCs/>
          <w:sz w:val="22"/>
          <w:szCs w:val="22"/>
          <w:lang w:val="es-ES" w:eastAsia="es-ES"/>
        </w:rPr>
        <w:t>.I.M.M.</w:t>
      </w:r>
      <w:r>
        <w:rPr>
          <w:rFonts w:ascii="Verdana" w:hAnsi="Verdana" w:cs="Verdana"/>
          <w:b/>
          <w:bCs/>
          <w:sz w:val="22"/>
          <w:szCs w:val="22"/>
          <w:lang w:val="es-ES" w:eastAsia="es-ES"/>
        </w:rPr>
        <w:t xml:space="preserve">, cédula de identidad </w:t>
      </w:r>
      <w:r w:rsidR="00565BCF">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quienes recurren el </w:t>
      </w:r>
      <w:r>
        <w:rPr>
          <w:rFonts w:ascii="Verdana" w:hAnsi="Verdana" w:cs="Verdana"/>
          <w:b/>
          <w:bCs/>
          <w:sz w:val="22"/>
          <w:szCs w:val="22"/>
          <w:lang w:val="es-ES" w:eastAsia="es-ES"/>
        </w:rPr>
        <w:t xml:space="preserve">Artículo 7.5.1 de la Sesión Ordinaria 03-2017 de 1 de febrero de 2017 </w:t>
      </w:r>
      <w:r>
        <w:rPr>
          <w:rFonts w:ascii="Verdana" w:hAnsi="Verdana" w:cs="Verdana"/>
          <w:sz w:val="22"/>
          <w:szCs w:val="22"/>
          <w:lang w:val="es-ES" w:eastAsia="es-ES"/>
        </w:rPr>
        <w:t xml:space="preserve">mediante el cual se rechazó la solicitud formulada por la señora </w:t>
      </w:r>
      <w:r>
        <w:rPr>
          <w:rFonts w:ascii="Verdana" w:hAnsi="Verdana" w:cs="Verdana"/>
          <w:b/>
          <w:bCs/>
          <w:sz w:val="22"/>
          <w:szCs w:val="22"/>
          <w:lang w:val="es-ES" w:eastAsia="es-ES"/>
        </w:rPr>
        <w:t>S</w:t>
      </w:r>
      <w:r w:rsidR="00565BCF">
        <w:rPr>
          <w:rFonts w:ascii="Verdana" w:hAnsi="Verdana" w:cs="Verdana"/>
          <w:b/>
          <w:bCs/>
          <w:sz w:val="22"/>
          <w:szCs w:val="22"/>
          <w:lang w:val="es-ES" w:eastAsia="es-ES"/>
        </w:rPr>
        <w:t>.S.C.M.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para que se transfiriera mortis causa la concesión del causante </w:t>
      </w:r>
      <w:r>
        <w:rPr>
          <w:rFonts w:ascii="Verdana" w:hAnsi="Verdana" w:cs="Verdana"/>
          <w:b/>
          <w:bCs/>
          <w:sz w:val="22"/>
          <w:szCs w:val="22"/>
          <w:lang w:val="es-ES" w:eastAsia="es-ES"/>
        </w:rPr>
        <w:t>R</w:t>
      </w:r>
      <w:r w:rsidR="00565BCF">
        <w:rPr>
          <w:rFonts w:ascii="Verdana" w:hAnsi="Verdana" w:cs="Verdana"/>
          <w:b/>
          <w:bCs/>
          <w:sz w:val="22"/>
          <w:szCs w:val="22"/>
          <w:lang w:val="es-ES" w:eastAsia="es-ES"/>
        </w:rPr>
        <w:t>.C.M.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 fuera concesionario de la placa de </w:t>
      </w:r>
      <w:r w:rsidR="00565BCF">
        <w:rPr>
          <w:rFonts w:ascii="Verdana" w:hAnsi="Verdana" w:cs="Verdana"/>
          <w:b/>
          <w:bCs/>
          <w:sz w:val="22"/>
          <w:szCs w:val="22"/>
          <w:lang w:val="es-ES" w:eastAsia="es-ES"/>
        </w:rPr>
        <w:t>Taxi TSJ</w:t>
      </w:r>
      <w:r>
        <w:rPr>
          <w:rFonts w:ascii="Verdana" w:hAnsi="Verdana" w:cs="Verdana"/>
          <w:b/>
          <w:bCs/>
          <w:sz w:val="22"/>
          <w:szCs w:val="22"/>
          <w:lang w:val="es-ES" w:eastAsia="es-ES"/>
        </w:rPr>
        <w:t>-</w:t>
      </w:r>
      <w:r w:rsidR="00565BCF">
        <w:rPr>
          <w:rFonts w:ascii="Verdana" w:hAnsi="Verdana" w:cs="Verdana"/>
          <w:b/>
          <w:bCs/>
          <w:sz w:val="22"/>
          <w:szCs w:val="22"/>
          <w:lang w:val="es-ES" w:eastAsia="es-ES"/>
        </w:rPr>
        <w:t>XXXX</w:t>
      </w:r>
      <w:r>
        <w:rPr>
          <w:rFonts w:ascii="Verdana" w:hAnsi="Verdana" w:cs="Verdana"/>
          <w:b/>
          <w:bCs/>
          <w:sz w:val="22"/>
          <w:szCs w:val="22"/>
          <w:lang w:val="es-ES" w:eastAsia="es-ES"/>
        </w:rPr>
        <w:t>, en favor de la señora Y</w:t>
      </w:r>
      <w:r w:rsidR="00565BCF">
        <w:rPr>
          <w:rFonts w:ascii="Verdana" w:hAnsi="Verdana" w:cs="Verdana"/>
          <w:b/>
          <w:bCs/>
          <w:sz w:val="22"/>
          <w:szCs w:val="22"/>
          <w:lang w:val="es-ES" w:eastAsia="es-ES"/>
        </w:rPr>
        <w:t>.I.M.M.</w:t>
      </w:r>
      <w:r>
        <w:rPr>
          <w:rFonts w:ascii="Verdana" w:hAnsi="Verdana" w:cs="Verdana"/>
          <w:b/>
          <w:bCs/>
          <w:sz w:val="22"/>
          <w:szCs w:val="22"/>
          <w:lang w:val="es-ES" w:eastAsia="es-ES"/>
        </w:rPr>
        <w:t xml:space="preserve">, </w:t>
      </w:r>
      <w:r>
        <w:rPr>
          <w:rFonts w:ascii="Verdana" w:hAnsi="Verdana" w:cs="Verdana"/>
          <w:sz w:val="22"/>
          <w:szCs w:val="22"/>
          <w:lang w:val="es-ES" w:eastAsia="es-ES"/>
        </w:rPr>
        <w:t>carecen de Legitimación para recurrir el presente asunto por lo siguiente:</w:t>
      </w:r>
    </w:p>
    <w:p w:rsidR="002D7F60" w:rsidRDefault="00862AF8">
      <w:pPr>
        <w:kinsoku w:val="0"/>
        <w:overflowPunct w:val="0"/>
        <w:autoSpaceDE/>
        <w:autoSpaceDN/>
        <w:adjustRightInd/>
        <w:spacing w:before="272" w:line="272"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La Ley 9027 autoriza la transmisibilidad de derechos de concesión por muerte del concesionario en el servicio público de taxis, Ley </w:t>
      </w:r>
      <w:proofErr w:type="spellStart"/>
      <w:r>
        <w:rPr>
          <w:rFonts w:ascii="Verdana" w:hAnsi="Verdana" w:cs="Verdana"/>
          <w:spacing w:val="-1"/>
          <w:sz w:val="22"/>
          <w:szCs w:val="22"/>
          <w:lang w:val="es-ES" w:eastAsia="es-ES"/>
        </w:rPr>
        <w:t>N°</w:t>
      </w:r>
      <w:proofErr w:type="spellEnd"/>
      <w:r>
        <w:rPr>
          <w:rFonts w:ascii="Verdana" w:hAnsi="Verdana" w:cs="Verdana"/>
          <w:spacing w:val="-1"/>
          <w:sz w:val="22"/>
          <w:szCs w:val="22"/>
          <w:lang w:val="es-ES" w:eastAsia="es-ES"/>
        </w:rPr>
        <w:t xml:space="preserve"> 9027 del 6 de febrero de 2012, dicha ley reforma la Ley Reguladora del Servicio Público de Transporte Remunerado de Personas en Vehículos en la modalidad de Taxi, Ley 7969, con el fin de regular el traspaso de concesiones por muerte del concesionario.</w:t>
      </w:r>
    </w:p>
    <w:p w:rsidR="002D7F60" w:rsidRDefault="00862AF8">
      <w:pPr>
        <w:kinsoku w:val="0"/>
        <w:overflowPunct w:val="0"/>
        <w:autoSpaceDE/>
        <w:autoSpaceDN/>
        <w:adjustRightInd/>
        <w:spacing w:before="288" w:line="265"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En ella se determinan quienes pueden ser beneficiarios para que se les transmita la concesión y dispone que deberán en lo sucesivo los concesionarios registrar las personas que en caso de su muerte serán en calidad de titular y suplente los beneficiarios, </w:t>
      </w:r>
      <w:r>
        <w:rPr>
          <w:rFonts w:ascii="Verdana" w:hAnsi="Verdana" w:cs="Verdana"/>
          <w:b/>
          <w:bCs/>
          <w:sz w:val="22"/>
          <w:szCs w:val="22"/>
          <w:u w:val="single"/>
          <w:lang w:val="es-ES" w:eastAsia="es-ES"/>
        </w:rPr>
        <w:t xml:space="preserve">de no hacerlo y acaecer un deceso se cancela la concesión, </w:t>
      </w:r>
      <w:r>
        <w:rPr>
          <w:rFonts w:ascii="Verdana" w:hAnsi="Verdana" w:cs="Verdana"/>
          <w:b/>
          <w:bCs/>
          <w:sz w:val="22"/>
          <w:szCs w:val="22"/>
          <w:lang w:val="es-ES" w:eastAsia="es-ES"/>
        </w:rPr>
        <w:t>artículo 42 bis adicionado a la Ley 7969.</w:t>
      </w:r>
    </w:p>
    <w:p w:rsidR="002D7F60" w:rsidRDefault="00862AF8">
      <w:pPr>
        <w:kinsoku w:val="0"/>
        <w:overflowPunct w:val="0"/>
        <w:autoSpaceDE/>
        <w:autoSpaceDN/>
        <w:adjustRightInd/>
        <w:spacing w:before="275" w:line="244" w:lineRule="exact"/>
        <w:ind w:left="504" w:right="432"/>
        <w:jc w:val="both"/>
        <w:textAlignment w:val="baseline"/>
        <w:rPr>
          <w:rFonts w:ascii="Verdana" w:hAnsi="Verdana" w:cs="Verdana"/>
          <w:lang w:val="es-ES" w:eastAsia="es-ES"/>
        </w:rPr>
      </w:pPr>
      <w:r>
        <w:rPr>
          <w:rFonts w:ascii="Verdana" w:hAnsi="Verdana" w:cs="Verdana"/>
          <w:b/>
          <w:bCs/>
          <w:lang w:val="es-ES" w:eastAsia="es-ES"/>
        </w:rPr>
        <w:t xml:space="preserve">"Artículo 42 </w:t>
      </w:r>
      <w:proofErr w:type="gramStart"/>
      <w:r>
        <w:rPr>
          <w:rFonts w:ascii="Verdana" w:hAnsi="Verdana" w:cs="Verdana"/>
          <w:b/>
          <w:bCs/>
          <w:lang w:val="es-ES" w:eastAsia="es-ES"/>
        </w:rPr>
        <w:t>b</w:t>
      </w:r>
      <w:r w:rsidR="00565BCF">
        <w:rPr>
          <w:rFonts w:ascii="Verdana" w:hAnsi="Verdana" w:cs="Verdana"/>
          <w:b/>
          <w:bCs/>
          <w:lang w:val="es-ES" w:eastAsia="es-ES"/>
        </w:rPr>
        <w:t>i</w:t>
      </w:r>
      <w:r>
        <w:rPr>
          <w:rFonts w:ascii="Verdana" w:hAnsi="Verdana" w:cs="Verdana"/>
          <w:b/>
          <w:bCs/>
          <w:lang w:val="es-ES" w:eastAsia="es-ES"/>
        </w:rPr>
        <w:t>s.-</w:t>
      </w:r>
      <w:proofErr w:type="gramEnd"/>
      <w:r>
        <w:rPr>
          <w:rFonts w:ascii="Verdana" w:hAnsi="Verdana" w:cs="Verdana"/>
          <w:b/>
          <w:bCs/>
          <w:lang w:val="es-ES" w:eastAsia="es-ES"/>
        </w:rPr>
        <w:t xml:space="preserve"> </w:t>
      </w:r>
      <w:r>
        <w:rPr>
          <w:rFonts w:ascii="Verdana" w:hAnsi="Verdana" w:cs="Verdana"/>
          <w:lang w:val="es-ES" w:eastAsia="es-ES"/>
        </w:rPr>
        <w:t>Traspaso de beneficio de la concesión en el servicio público de taxi por muerte de la persona concesionaria.</w:t>
      </w:r>
    </w:p>
    <w:p w:rsidR="002D7F60" w:rsidRDefault="00862AF8">
      <w:pPr>
        <w:kinsoku w:val="0"/>
        <w:overflowPunct w:val="0"/>
        <w:autoSpaceDE/>
        <w:autoSpaceDN/>
        <w:adjustRightInd/>
        <w:spacing w:line="243" w:lineRule="exact"/>
        <w:ind w:left="504" w:right="432"/>
        <w:jc w:val="both"/>
        <w:textAlignment w:val="baseline"/>
        <w:rPr>
          <w:rFonts w:ascii="Verdana" w:hAnsi="Verdana" w:cs="Verdana"/>
          <w:lang w:val="es-ES" w:eastAsia="es-ES"/>
        </w:rPr>
      </w:pPr>
      <w:r>
        <w:rPr>
          <w:rFonts w:ascii="Verdana" w:hAnsi="Verdana" w:cs="Verdana"/>
          <w:b/>
          <w:bCs/>
          <w:lang w:val="es-ES" w:eastAsia="es-ES"/>
        </w:rPr>
        <w:t xml:space="preserve">Todo concesionario o concesionaria del servicio público del transporte remunerado de personas en vehículos en la modalidad de taxi podrá designar libremente e </w:t>
      </w:r>
      <w:r>
        <w:rPr>
          <w:rFonts w:ascii="Verdana" w:hAnsi="Verdana" w:cs="Verdana"/>
          <w:b/>
          <w:bCs/>
          <w:u w:val="single"/>
          <w:lang w:val="es-ES" w:eastAsia="es-ES"/>
        </w:rPr>
        <w:t xml:space="preserve">incluirse en el Registro </w:t>
      </w:r>
      <w:r>
        <w:rPr>
          <w:rFonts w:ascii="Verdana" w:hAnsi="Verdana" w:cs="Verdana"/>
          <w:b/>
          <w:bCs/>
          <w:sz w:val="22"/>
          <w:szCs w:val="22"/>
          <w:u w:val="single"/>
          <w:lang w:val="es-ES" w:eastAsia="es-ES"/>
        </w:rPr>
        <w:t xml:space="preserve">de </w:t>
      </w:r>
      <w:r>
        <w:rPr>
          <w:rFonts w:ascii="Verdana" w:hAnsi="Verdana" w:cs="Verdana"/>
          <w:b/>
          <w:bCs/>
          <w:u w:val="single"/>
          <w:lang w:val="es-ES" w:eastAsia="es-ES"/>
        </w:rPr>
        <w:t xml:space="preserve">Concesiones </w:t>
      </w:r>
      <w:proofErr w:type="gramStart"/>
      <w:r>
        <w:rPr>
          <w:rFonts w:ascii="Verdana" w:hAnsi="Verdana" w:cs="Verdana"/>
          <w:b/>
          <w:bCs/>
          <w:u w:val="single"/>
          <w:lang w:val="es-ES" w:eastAsia="es-ES"/>
        </w:rPr>
        <w:t>del  Consejo</w:t>
      </w:r>
      <w:proofErr w:type="gramEnd"/>
      <w:r>
        <w:rPr>
          <w:rFonts w:ascii="Verdana" w:hAnsi="Verdana" w:cs="Verdana"/>
          <w:b/>
          <w:bCs/>
          <w:lang w:val="es-ES" w:eastAsia="es-ES"/>
        </w:rPr>
        <w:t xml:space="preserve"> una persona beneficiaria titular y una suplente, para el caso de muerte. </w:t>
      </w:r>
      <w:r>
        <w:rPr>
          <w:rFonts w:ascii="Verdana" w:hAnsi="Verdana" w:cs="Verdana"/>
          <w:lang w:val="es-ES" w:eastAsia="es-ES"/>
        </w:rPr>
        <w:t xml:space="preserve">La persona suplente entraría como beneficiaria directa si fallece </w:t>
      </w:r>
      <w:r>
        <w:rPr>
          <w:rFonts w:ascii="Verdana" w:hAnsi="Verdana" w:cs="Verdana"/>
          <w:sz w:val="22"/>
          <w:szCs w:val="22"/>
          <w:lang w:val="es-ES" w:eastAsia="es-ES"/>
        </w:rPr>
        <w:t xml:space="preserve">la persona </w:t>
      </w:r>
      <w:r>
        <w:rPr>
          <w:rFonts w:ascii="Verdana" w:hAnsi="Verdana" w:cs="Verdana"/>
          <w:lang w:val="es-ES" w:eastAsia="es-ES"/>
        </w:rPr>
        <w:t>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2D7F60" w:rsidRDefault="00862AF8">
      <w:pPr>
        <w:kinsoku w:val="0"/>
        <w:overflowPunct w:val="0"/>
        <w:autoSpaceDE/>
        <w:autoSpaceDN/>
        <w:adjustRightInd/>
        <w:spacing w:line="243" w:lineRule="exact"/>
        <w:ind w:left="504" w:right="432"/>
        <w:jc w:val="both"/>
        <w:textAlignment w:val="baseline"/>
        <w:rPr>
          <w:rFonts w:ascii="Verdana" w:hAnsi="Verdana" w:cs="Verdana"/>
          <w:lang w:val="es-ES" w:eastAsia="es-ES"/>
        </w:rPr>
      </w:pPr>
      <w:r>
        <w:rPr>
          <w:rFonts w:ascii="Verdana" w:hAnsi="Verdana" w:cs="Verdana"/>
          <w:lang w:val="es-ES" w:eastAsia="es-ES"/>
        </w:rPr>
        <w:t xml:space="preserve">La persona concesionaria puede revocar y sustituir al beneficiario o beneficiaria siempre dentro del grado de parentesco establecido en el párrafo anterior. Todo cambio deberá </w:t>
      </w:r>
      <w:r>
        <w:rPr>
          <w:rFonts w:ascii="Verdana" w:hAnsi="Verdana" w:cs="Verdana"/>
          <w:sz w:val="22"/>
          <w:szCs w:val="22"/>
          <w:lang w:val="es-ES" w:eastAsia="es-ES"/>
        </w:rPr>
        <w:t xml:space="preserve">ser </w:t>
      </w:r>
      <w:r>
        <w:rPr>
          <w:rFonts w:ascii="Verdana" w:hAnsi="Verdana" w:cs="Verdana"/>
          <w:lang w:val="es-ES" w:eastAsia="es-ES"/>
        </w:rPr>
        <w:t>comunicado a la administración concedente para que así sea registrado.</w:t>
      </w:r>
    </w:p>
    <w:p w:rsidR="002D7F60" w:rsidRDefault="00862AF8">
      <w:pPr>
        <w:kinsoku w:val="0"/>
        <w:overflowPunct w:val="0"/>
        <w:autoSpaceDE/>
        <w:autoSpaceDN/>
        <w:adjustRightInd/>
        <w:spacing w:before="10" w:after="619" w:line="244" w:lineRule="exact"/>
        <w:ind w:left="504" w:right="432"/>
        <w:jc w:val="both"/>
        <w:textAlignment w:val="baseline"/>
        <w:rPr>
          <w:rFonts w:ascii="Verdana" w:hAnsi="Verdana" w:cs="Verdana"/>
          <w:lang w:val="es-ES" w:eastAsia="es-ES"/>
        </w:rPr>
      </w:pPr>
      <w:r>
        <w:rPr>
          <w:rFonts w:ascii="Verdana" w:hAnsi="Verdana" w:cs="Verdana"/>
          <w:lang w:val="es-ES" w:eastAsia="es-ES"/>
        </w:rPr>
        <w:t>El familiar beneficiario no está exento de cumplir todas las disposiciones, obligaciones y prohibiciones fijadas en este cuerpo normativo y deberá</w:t>
      </w:r>
    </w:p>
    <w:p w:rsidR="002D7F60" w:rsidRDefault="002D7F60">
      <w:pPr>
        <w:widowControl/>
        <w:rPr>
          <w:sz w:val="24"/>
          <w:szCs w:val="24"/>
        </w:rPr>
        <w:sectPr w:rsidR="002D7F60">
          <w:pgSz w:w="12134" w:h="15840"/>
          <w:pgMar w:top="1540" w:right="1390" w:bottom="190" w:left="1684" w:header="720" w:footer="720" w:gutter="0"/>
          <w:cols w:space="720"/>
          <w:noEndnote/>
        </w:sectPr>
      </w:pPr>
    </w:p>
    <w:p w:rsidR="002D7F60" w:rsidRDefault="002D7F60">
      <w:pPr>
        <w:widowControl/>
        <w:rPr>
          <w:sz w:val="24"/>
          <w:szCs w:val="24"/>
        </w:rPr>
        <w:sectPr w:rsidR="002D7F60">
          <w:type w:val="continuous"/>
          <w:pgSz w:w="12134" w:h="15840"/>
          <w:pgMar w:top="1540" w:right="1456" w:bottom="190" w:left="7438" w:header="720" w:footer="720" w:gutter="0"/>
          <w:cols w:space="720"/>
          <w:noEndnote/>
        </w:sectPr>
      </w:pPr>
    </w:p>
    <w:p w:rsidR="002D7F60" w:rsidRDefault="00862AF8">
      <w:pPr>
        <w:kinsoku w:val="0"/>
        <w:overflowPunct w:val="0"/>
        <w:autoSpaceDE/>
        <w:autoSpaceDN/>
        <w:adjustRightInd/>
        <w:spacing w:line="242" w:lineRule="exact"/>
        <w:ind w:left="432" w:right="576"/>
        <w:jc w:val="both"/>
        <w:textAlignment w:val="baseline"/>
        <w:rPr>
          <w:rFonts w:ascii="Verdana" w:hAnsi="Verdana" w:cs="Verdana"/>
          <w:spacing w:val="3"/>
          <w:sz w:val="19"/>
          <w:szCs w:val="19"/>
          <w:lang w:val="es-ES" w:eastAsia="es-ES"/>
        </w:rPr>
      </w:pPr>
      <w:r>
        <w:rPr>
          <w:rFonts w:ascii="Verdana" w:hAnsi="Verdana" w:cs="Verdana"/>
          <w:spacing w:val="3"/>
          <w:sz w:val="19"/>
          <w:szCs w:val="19"/>
          <w:lang w:val="es-ES" w:eastAsia="es-ES"/>
        </w:rPr>
        <w:lastRenderedPageBreak/>
        <w:t xml:space="preserve">demostrar que reúne los requerimientos que demandará su nueva condición de concesionario hasta por el plazo que reste de la concesión, pudiéndose prorrogar conforme al inciso 1 b del artículo 29 de la presente ley. </w:t>
      </w:r>
      <w:r>
        <w:rPr>
          <w:rFonts w:ascii="Verdana" w:hAnsi="Verdana" w:cs="Verdana"/>
          <w:spacing w:val="3"/>
          <w:sz w:val="21"/>
          <w:szCs w:val="21"/>
          <w:lang w:val="es-ES" w:eastAsia="es-ES"/>
        </w:rPr>
        <w:t xml:space="preserve">No </w:t>
      </w:r>
      <w:r>
        <w:rPr>
          <w:rFonts w:ascii="Verdana" w:hAnsi="Verdana" w:cs="Verdana"/>
          <w:spacing w:val="3"/>
          <w:sz w:val="19"/>
          <w:szCs w:val="19"/>
          <w:lang w:val="es-ES" w:eastAsia="es-ES"/>
        </w:rPr>
        <w:t>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2D7F60" w:rsidRDefault="00862AF8">
      <w:pPr>
        <w:kinsoku w:val="0"/>
        <w:overflowPunct w:val="0"/>
        <w:autoSpaceDE/>
        <w:autoSpaceDN/>
        <w:adjustRightInd/>
        <w:spacing w:line="246" w:lineRule="exact"/>
        <w:ind w:left="432" w:right="576"/>
        <w:jc w:val="both"/>
        <w:textAlignment w:val="baseline"/>
        <w:rPr>
          <w:rFonts w:ascii="Verdana" w:hAnsi="Verdana" w:cs="Verdana"/>
          <w:i/>
          <w:iCs/>
          <w:spacing w:val="3"/>
          <w:sz w:val="19"/>
          <w:szCs w:val="19"/>
          <w:lang w:val="es-ES" w:eastAsia="es-ES"/>
        </w:rPr>
      </w:pPr>
      <w:r>
        <w:rPr>
          <w:rFonts w:ascii="Verdana" w:hAnsi="Verdana" w:cs="Verdana"/>
          <w:b/>
          <w:bCs/>
          <w:spacing w:val="3"/>
          <w:sz w:val="19"/>
          <w:szCs w:val="19"/>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rFonts w:ascii="Verdana" w:hAnsi="Verdana" w:cs="Verdana"/>
          <w:b/>
          <w:bCs/>
          <w:spacing w:val="3"/>
          <w:sz w:val="21"/>
          <w:szCs w:val="21"/>
          <w:u w:val="single"/>
          <w:lang w:val="es-ES" w:eastAsia="es-ES"/>
        </w:rPr>
        <w:t xml:space="preserve">En caso </w:t>
      </w:r>
      <w:r>
        <w:rPr>
          <w:rFonts w:ascii="Verdana" w:hAnsi="Verdana" w:cs="Verdana"/>
          <w:b/>
          <w:bCs/>
          <w:spacing w:val="3"/>
          <w:sz w:val="19"/>
          <w:szCs w:val="19"/>
          <w:u w:val="single"/>
          <w:lang w:val="es-ES" w:eastAsia="es-ES"/>
        </w:rPr>
        <w:t xml:space="preserve">de fallecimiento sin haberse registrado la </w:t>
      </w:r>
      <w:proofErr w:type="gramStart"/>
      <w:r>
        <w:rPr>
          <w:rFonts w:ascii="Verdana" w:hAnsi="Verdana" w:cs="Verdana"/>
          <w:b/>
          <w:bCs/>
          <w:spacing w:val="3"/>
          <w:sz w:val="19"/>
          <w:szCs w:val="19"/>
          <w:u w:val="single"/>
          <w:lang w:val="es-ES" w:eastAsia="es-ES"/>
        </w:rPr>
        <w:t>persona  beneficiaria</w:t>
      </w:r>
      <w:proofErr w:type="gramEnd"/>
      <w:r>
        <w:rPr>
          <w:rFonts w:ascii="Verdana" w:hAnsi="Verdana" w:cs="Verdana"/>
          <w:b/>
          <w:bCs/>
          <w:spacing w:val="3"/>
          <w:sz w:val="19"/>
          <w:szCs w:val="19"/>
          <w:u w:val="single"/>
          <w:lang w:val="es-ES" w:eastAsia="es-ES"/>
        </w:rPr>
        <w:t>, titular y suplente, se cancelará automáticamente la  concesión otorgada.(Así</w:t>
      </w:r>
      <w:r>
        <w:rPr>
          <w:rFonts w:ascii="Verdana" w:hAnsi="Verdana" w:cs="Verdana"/>
          <w:i/>
          <w:iCs/>
          <w:spacing w:val="3"/>
          <w:sz w:val="19"/>
          <w:szCs w:val="19"/>
          <w:lang w:val="es-ES" w:eastAsia="es-ES"/>
        </w:rPr>
        <w:t xml:space="preserve"> adicionado por el artículo único de la ley </w:t>
      </w:r>
      <w:proofErr w:type="spellStart"/>
      <w:r>
        <w:rPr>
          <w:rFonts w:ascii="Verdana" w:hAnsi="Verdana" w:cs="Verdana"/>
          <w:i/>
          <w:iCs/>
          <w:spacing w:val="3"/>
          <w:sz w:val="19"/>
          <w:szCs w:val="19"/>
          <w:lang w:val="es-ES" w:eastAsia="es-ES"/>
        </w:rPr>
        <w:t>N°</w:t>
      </w:r>
      <w:proofErr w:type="spellEnd"/>
      <w:r>
        <w:rPr>
          <w:rFonts w:ascii="Verdana" w:hAnsi="Verdana" w:cs="Verdana"/>
          <w:i/>
          <w:iCs/>
          <w:spacing w:val="3"/>
          <w:sz w:val="19"/>
          <w:szCs w:val="19"/>
          <w:lang w:val="es-ES" w:eastAsia="es-ES"/>
        </w:rPr>
        <w:t xml:space="preserve"> 9027 del 6 de febrero del 2012)(El resaltado con negrita y subrayado es nuestro)"</w:t>
      </w:r>
    </w:p>
    <w:p w:rsidR="002D7F60" w:rsidRDefault="00862AF8">
      <w:pPr>
        <w:kinsoku w:val="0"/>
        <w:overflowPunct w:val="0"/>
        <w:autoSpaceDE/>
        <w:autoSpaceDN/>
        <w:adjustRightInd/>
        <w:spacing w:before="213" w:line="271" w:lineRule="exact"/>
        <w:ind w:left="144" w:right="72"/>
        <w:jc w:val="both"/>
        <w:textAlignment w:val="baseline"/>
        <w:rPr>
          <w:rFonts w:ascii="Verdana" w:hAnsi="Verdana" w:cs="Verdana"/>
          <w:b/>
          <w:bCs/>
          <w:spacing w:val="3"/>
          <w:sz w:val="21"/>
          <w:szCs w:val="21"/>
          <w:u w:val="single"/>
          <w:lang w:val="es-ES" w:eastAsia="es-ES"/>
        </w:rPr>
      </w:pPr>
      <w:r>
        <w:rPr>
          <w:rFonts w:ascii="Verdana" w:hAnsi="Verdana" w:cs="Verdana"/>
          <w:spacing w:val="3"/>
          <w:sz w:val="21"/>
          <w:szCs w:val="21"/>
          <w:lang w:val="es-ES" w:eastAsia="es-ES"/>
        </w:rPr>
        <w:t xml:space="preserve">Lo anterior conlleva entonces una consecuencia gravosa para las recurrentes, cual es el hecho de que las pone en una condición de Falta de Legitimación para accionar en este asunto, pues no ostentan, ni un derecho subjetivo ni un interés legítimo y por lo tanto no cuenta con la capacidad procesal para recurrir, pues no tienen posibilidad alguna de lograr con la anulación del acto impugnado el traspaso mortis causa que pretende y el CTP actúo conforme al Principio de Legalidad, pues la solicitud que se presenta pretende se le traspase la </w:t>
      </w:r>
      <w:r>
        <w:rPr>
          <w:rFonts w:ascii="Verdana" w:hAnsi="Verdana" w:cs="Verdana"/>
          <w:spacing w:val="3"/>
          <w:sz w:val="19"/>
          <w:szCs w:val="19"/>
          <w:lang w:val="es-ES" w:eastAsia="es-ES"/>
        </w:rPr>
        <w:t xml:space="preserve">concesión </w:t>
      </w:r>
      <w:r>
        <w:rPr>
          <w:rFonts w:ascii="Verdana" w:hAnsi="Verdana" w:cs="Verdana"/>
          <w:spacing w:val="3"/>
          <w:sz w:val="21"/>
          <w:szCs w:val="21"/>
          <w:lang w:val="es-ES" w:eastAsia="es-ES"/>
        </w:rPr>
        <w:t xml:space="preserve">a la señora </w:t>
      </w:r>
      <w:r>
        <w:rPr>
          <w:rFonts w:ascii="Verdana" w:hAnsi="Verdana" w:cs="Verdana"/>
          <w:b/>
          <w:bCs/>
          <w:spacing w:val="3"/>
          <w:sz w:val="21"/>
          <w:szCs w:val="21"/>
          <w:lang w:val="es-ES" w:eastAsia="es-ES"/>
        </w:rPr>
        <w:t>Y</w:t>
      </w:r>
      <w:r w:rsidR="00565BCF">
        <w:rPr>
          <w:rFonts w:ascii="Verdana" w:hAnsi="Verdana" w:cs="Verdana"/>
          <w:b/>
          <w:bCs/>
          <w:spacing w:val="3"/>
          <w:sz w:val="21"/>
          <w:szCs w:val="21"/>
          <w:lang w:val="es-ES" w:eastAsia="es-ES"/>
        </w:rPr>
        <w:t>.I.M.M.</w:t>
      </w:r>
      <w:r>
        <w:rPr>
          <w:rFonts w:ascii="Verdana" w:hAnsi="Verdana" w:cs="Verdana"/>
          <w:b/>
          <w:bCs/>
          <w:spacing w:val="3"/>
          <w:sz w:val="21"/>
          <w:szCs w:val="21"/>
          <w:lang w:val="es-ES" w:eastAsia="es-ES"/>
        </w:rPr>
        <w:t xml:space="preserve">, cédula de identidad </w:t>
      </w:r>
      <w:r w:rsidR="00565BCF">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quien resultó, junto a </w:t>
      </w:r>
      <w:r>
        <w:rPr>
          <w:rFonts w:ascii="Verdana" w:hAnsi="Verdana" w:cs="Verdana"/>
          <w:b/>
          <w:bCs/>
          <w:spacing w:val="3"/>
          <w:sz w:val="21"/>
          <w:szCs w:val="21"/>
          <w:lang w:val="es-ES" w:eastAsia="es-ES"/>
        </w:rPr>
        <w:t>A</w:t>
      </w:r>
      <w:r w:rsidR="00565BCF">
        <w:rPr>
          <w:rFonts w:ascii="Verdana" w:hAnsi="Verdana" w:cs="Verdana"/>
          <w:b/>
          <w:bCs/>
          <w:spacing w:val="3"/>
          <w:sz w:val="21"/>
          <w:szCs w:val="21"/>
          <w:lang w:val="es-ES" w:eastAsia="es-ES"/>
        </w:rPr>
        <w:t>.C.B.</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(ambos padres del causante) y </w:t>
      </w:r>
      <w:r>
        <w:rPr>
          <w:rFonts w:ascii="Verdana" w:hAnsi="Verdana" w:cs="Verdana"/>
          <w:b/>
          <w:bCs/>
          <w:spacing w:val="3"/>
          <w:sz w:val="21"/>
          <w:szCs w:val="21"/>
          <w:lang w:val="es-ES" w:eastAsia="es-ES"/>
        </w:rPr>
        <w:t>S</w:t>
      </w:r>
      <w:r w:rsidR="001772A0">
        <w:rPr>
          <w:rFonts w:ascii="Verdana" w:hAnsi="Verdana" w:cs="Verdana"/>
          <w:b/>
          <w:bCs/>
          <w:spacing w:val="3"/>
          <w:sz w:val="21"/>
          <w:szCs w:val="21"/>
          <w:lang w:val="es-ES" w:eastAsia="es-ES"/>
        </w:rPr>
        <w:t>.S.C.M.</w:t>
      </w:r>
      <w:r>
        <w:rPr>
          <w:rFonts w:ascii="Verdana" w:hAnsi="Verdana" w:cs="Verdana"/>
          <w:b/>
          <w:bCs/>
          <w:spacing w:val="3"/>
          <w:sz w:val="21"/>
          <w:szCs w:val="21"/>
          <w:lang w:val="es-ES" w:eastAsia="es-ES"/>
        </w:rPr>
        <w:t xml:space="preserve"> y F</w:t>
      </w:r>
      <w:r w:rsidR="001772A0">
        <w:rPr>
          <w:rFonts w:ascii="Verdana" w:hAnsi="Verdana" w:cs="Verdana"/>
          <w:b/>
          <w:bCs/>
          <w:spacing w:val="3"/>
          <w:sz w:val="21"/>
          <w:szCs w:val="21"/>
          <w:lang w:val="es-ES" w:eastAsia="es-ES"/>
        </w:rPr>
        <w:t>.P.C.M.</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(hijas del causante) heredera legítima y Universal del causante </w:t>
      </w:r>
      <w:r>
        <w:rPr>
          <w:rFonts w:ascii="Verdana" w:hAnsi="Verdana" w:cs="Verdana"/>
          <w:b/>
          <w:bCs/>
          <w:spacing w:val="3"/>
          <w:sz w:val="21"/>
          <w:szCs w:val="21"/>
          <w:lang w:val="es-ES" w:eastAsia="es-ES"/>
        </w:rPr>
        <w:t>R</w:t>
      </w:r>
      <w:r w:rsidR="001772A0">
        <w:rPr>
          <w:rFonts w:ascii="Verdana" w:hAnsi="Verdana" w:cs="Verdana"/>
          <w:b/>
          <w:bCs/>
          <w:spacing w:val="3"/>
          <w:sz w:val="21"/>
          <w:szCs w:val="21"/>
          <w:lang w:val="es-ES" w:eastAsia="es-ES"/>
        </w:rPr>
        <w:t>.C.M.</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según Resolución 36, de las catorce horas veintitrés minutos del ocho de diciembre de dos mil quince, del Juzgado Civil del II Circuito Judicial de San José, visible a folio 70 y </w:t>
      </w:r>
      <w:r>
        <w:rPr>
          <w:rFonts w:ascii="Verdana" w:hAnsi="Verdana" w:cs="Verdana"/>
          <w:b/>
          <w:bCs/>
          <w:spacing w:val="3"/>
          <w:sz w:val="19"/>
          <w:szCs w:val="19"/>
          <w:lang w:val="es-ES" w:eastAsia="es-ES"/>
        </w:rPr>
        <w:t xml:space="preserve">71 </w:t>
      </w:r>
      <w:r>
        <w:rPr>
          <w:rFonts w:ascii="Verdana" w:hAnsi="Verdana" w:cs="Verdana"/>
          <w:spacing w:val="3"/>
          <w:sz w:val="21"/>
          <w:szCs w:val="21"/>
          <w:lang w:val="es-ES" w:eastAsia="es-ES"/>
        </w:rPr>
        <w:t xml:space="preserve">del expediente administrativo; lo anterior, de conformidad con la ley no conlleva la adjudicación de la Concesión, pues ésta (la concesión de Taxi) no es un bien que se encuentre dentro del comercio de los hombres, pues la prestación del servicio de Taxi pertenece al Estado y este mediante la figura de la concesión, la otorga a los particulares y de conformidad con ley (Artículo 42 bis Ley 7969), </w:t>
      </w:r>
      <w:r>
        <w:rPr>
          <w:rFonts w:ascii="Verdana" w:hAnsi="Verdana" w:cs="Verdana"/>
          <w:b/>
          <w:bCs/>
          <w:spacing w:val="3"/>
          <w:sz w:val="21"/>
          <w:szCs w:val="21"/>
          <w:u w:val="single"/>
          <w:lang w:val="es-ES" w:eastAsia="es-ES"/>
        </w:rPr>
        <w:t>solo sí se designa un beneficiario y dentro de los que taxativamente se determinan, se podría dar el traspaso mortis causa de la concesión, lo que no sucedió en este caso.</w:t>
      </w:r>
    </w:p>
    <w:p w:rsidR="002D7F60" w:rsidRDefault="00862AF8">
      <w:pPr>
        <w:kinsoku w:val="0"/>
        <w:overflowPunct w:val="0"/>
        <w:autoSpaceDE/>
        <w:autoSpaceDN/>
        <w:adjustRightInd/>
        <w:spacing w:before="280" w:line="271" w:lineRule="exact"/>
        <w:ind w:left="144"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Es requisito indispensable, para poder accionar en cualquier procedimiento jurídico y a esto no escapa la interposición de las acciones recursivas, contar con la debida Legitimación para ello.</w:t>
      </w:r>
    </w:p>
    <w:p w:rsidR="002D7F60" w:rsidRDefault="00862AF8">
      <w:pPr>
        <w:kinsoku w:val="0"/>
        <w:overflowPunct w:val="0"/>
        <w:autoSpaceDE/>
        <w:autoSpaceDN/>
        <w:adjustRightInd/>
        <w:spacing w:before="240" w:line="283" w:lineRule="exact"/>
        <w:ind w:left="144"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artículo 275 de la Ley General de la Administración Pública, en cuanto a la Legitimación indica:</w:t>
      </w:r>
    </w:p>
    <w:p w:rsidR="002D7F60" w:rsidRDefault="002D7F60">
      <w:pPr>
        <w:widowControl/>
        <w:rPr>
          <w:sz w:val="24"/>
          <w:szCs w:val="24"/>
        </w:rPr>
        <w:sectPr w:rsidR="002D7F60">
          <w:pgSz w:w="12134" w:h="15840"/>
          <w:pgMar w:top="1400" w:right="1443" w:bottom="224" w:left="1631" w:header="720" w:footer="720" w:gutter="0"/>
          <w:cols w:space="720"/>
          <w:noEndnote/>
        </w:sectPr>
      </w:pPr>
    </w:p>
    <w:p w:rsidR="002D7F60" w:rsidRDefault="00862AF8" w:rsidP="001772A0">
      <w:pPr>
        <w:kinsoku w:val="0"/>
        <w:overflowPunct w:val="0"/>
        <w:autoSpaceDE/>
        <w:autoSpaceDN/>
        <w:adjustRightInd/>
        <w:spacing w:line="262" w:lineRule="exact"/>
        <w:ind w:left="432"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 "</w:t>
      </w:r>
    </w:p>
    <w:p w:rsidR="002D7F60" w:rsidRDefault="00862AF8">
      <w:pPr>
        <w:kinsoku w:val="0"/>
        <w:overflowPunct w:val="0"/>
        <w:autoSpaceDE/>
        <w:autoSpaceDN/>
        <w:adjustRightInd/>
        <w:spacing w:before="321" w:line="265" w:lineRule="exact"/>
        <w:jc w:val="center"/>
        <w:textAlignment w:val="baseline"/>
        <w:rPr>
          <w:rFonts w:ascii="Verdana" w:hAnsi="Verdana" w:cs="Verdana"/>
          <w:sz w:val="22"/>
          <w:szCs w:val="22"/>
          <w:lang w:val="es-ES" w:eastAsia="es-ES"/>
        </w:rPr>
      </w:pPr>
      <w:r>
        <w:rPr>
          <w:rFonts w:ascii="Verdana" w:hAnsi="Verdana" w:cs="Verdana"/>
          <w:sz w:val="22"/>
          <w:szCs w:val="22"/>
          <w:lang w:val="es-ES" w:eastAsia="es-ES"/>
        </w:rPr>
        <w:t>La Sala Primera de la Corte Suprema de Justicia en su sentencia de fecha 04 de</w:t>
      </w:r>
    </w:p>
    <w:p w:rsidR="002D7F60" w:rsidRDefault="00862AF8">
      <w:pPr>
        <w:kinsoku w:val="0"/>
        <w:overflowPunct w:val="0"/>
        <w:autoSpaceDE/>
        <w:autoSpaceDN/>
        <w:adjustRightInd/>
        <w:spacing w:before="39" w:line="28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julio de 2013 de las 09:20:00 horas indicó respecto de la Legitimación lo siguiente:</w:t>
      </w:r>
    </w:p>
    <w:p w:rsidR="002D7F60" w:rsidRDefault="00862AF8">
      <w:pPr>
        <w:kinsoku w:val="0"/>
        <w:overflowPunct w:val="0"/>
        <w:autoSpaceDE/>
        <w:autoSpaceDN/>
        <w:adjustRightInd/>
        <w:spacing w:before="626" w:after="489" w:line="269" w:lineRule="exact"/>
        <w:ind w:left="432" w:right="432"/>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 xml:space="preserve">"La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w:t>
      </w:r>
      <w:proofErr w:type="spellStart"/>
      <w:r>
        <w:rPr>
          <w:rFonts w:ascii="Verdana" w:hAnsi="Verdana" w:cs="Verdana"/>
          <w:i/>
          <w:iCs/>
          <w:spacing w:val="-2"/>
          <w:sz w:val="22"/>
          <w:szCs w:val="22"/>
          <w:lang w:val="es-ES" w:eastAsia="es-ES"/>
        </w:rPr>
        <w:t>quienes</w:t>
      </w:r>
      <w:proofErr w:type="spellEnd"/>
      <w:r>
        <w:rPr>
          <w:rFonts w:ascii="Verdana" w:hAnsi="Verdana" w:cs="Verdana"/>
          <w:i/>
          <w:iCs/>
          <w:spacing w:val="-2"/>
          <w:sz w:val="22"/>
          <w:szCs w:val="22"/>
          <w:lang w:val="es-ES" w:eastAsia="es-ES"/>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w:t>
      </w:r>
    </w:p>
    <w:p w:rsidR="002D7F60" w:rsidRDefault="002D7F60">
      <w:pPr>
        <w:widowControl/>
        <w:rPr>
          <w:sz w:val="24"/>
          <w:szCs w:val="24"/>
        </w:rPr>
        <w:sectPr w:rsidR="002D7F60">
          <w:pgSz w:w="12134" w:h="15840"/>
          <w:pgMar w:top="1540" w:right="1397" w:bottom="190" w:left="1677" w:header="720" w:footer="720" w:gutter="0"/>
          <w:cols w:space="720"/>
          <w:noEndnote/>
        </w:sectPr>
      </w:pPr>
    </w:p>
    <w:p w:rsidR="002D7F60" w:rsidRDefault="002D7F60">
      <w:pPr>
        <w:widowControl/>
        <w:rPr>
          <w:sz w:val="24"/>
          <w:szCs w:val="24"/>
        </w:rPr>
        <w:sectPr w:rsidR="002D7F60">
          <w:type w:val="continuous"/>
          <w:pgSz w:w="12134" w:h="15840"/>
          <w:pgMar w:top="1540" w:right="1468" w:bottom="190" w:left="7426" w:header="720" w:footer="720" w:gutter="0"/>
          <w:cols w:space="720"/>
          <w:noEndnote/>
        </w:sectPr>
      </w:pPr>
    </w:p>
    <w:p w:rsidR="002D7F60" w:rsidRDefault="00862AF8">
      <w:pPr>
        <w:kinsoku w:val="0"/>
        <w:overflowPunct w:val="0"/>
        <w:autoSpaceDE/>
        <w:autoSpaceDN/>
        <w:adjustRightInd/>
        <w:spacing w:before="16" w:line="268" w:lineRule="exact"/>
        <w:ind w:left="432" w:right="504"/>
        <w:jc w:val="both"/>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lastRenderedPageBreak/>
        <w:t xml:space="preserve">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i/>
          <w:iCs/>
          <w:spacing w:val="3"/>
          <w:sz w:val="21"/>
          <w:szCs w:val="21"/>
          <w:lang w:val="es-ES" w:eastAsia="es-ES"/>
        </w:rPr>
        <w:t>causam</w:t>
      </w:r>
      <w:proofErr w:type="spellEnd"/>
      <w:r>
        <w:rPr>
          <w:rFonts w:ascii="Verdana" w:hAnsi="Verdana" w:cs="Verdana"/>
          <w:i/>
          <w:iCs/>
          <w:spacing w:val="3"/>
          <w:sz w:val="21"/>
          <w:szCs w:val="21"/>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2D7F60" w:rsidRDefault="00862AF8">
      <w:pPr>
        <w:kinsoku w:val="0"/>
        <w:overflowPunct w:val="0"/>
        <w:autoSpaceDE/>
        <w:autoSpaceDN/>
        <w:adjustRightInd/>
        <w:spacing w:before="258" w:line="315" w:lineRule="exact"/>
        <w:ind w:left="144"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 mayor abundancia considera este Tribunal pertinente referirse a lo siguiente para una mayor claridad de conceptos a las recurrentes.</w:t>
      </w:r>
    </w:p>
    <w:p w:rsidR="002D7F60" w:rsidRDefault="00862AF8">
      <w:pPr>
        <w:kinsoku w:val="0"/>
        <w:overflowPunct w:val="0"/>
        <w:autoSpaceDE/>
        <w:autoSpaceDN/>
        <w:adjustRightInd/>
        <w:spacing w:before="758" w:line="263" w:lineRule="exact"/>
        <w:ind w:left="144" w:right="72"/>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LOS CONTRATOS CON EL ESTADO</w:t>
      </w:r>
    </w:p>
    <w:p w:rsidR="002D7F60" w:rsidRDefault="00862AF8">
      <w:pPr>
        <w:kinsoku w:val="0"/>
        <w:overflowPunct w:val="0"/>
        <w:autoSpaceDE/>
        <w:autoSpaceDN/>
        <w:adjustRightInd/>
        <w:spacing w:before="704" w:line="272" w:lineRule="exact"/>
        <w:ind w:left="144"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rsidR="002D7F60" w:rsidRDefault="00862AF8">
      <w:pPr>
        <w:kinsoku w:val="0"/>
        <w:overflowPunct w:val="0"/>
        <w:autoSpaceDE/>
        <w:autoSpaceDN/>
        <w:adjustRightInd/>
        <w:spacing w:before="257" w:line="269" w:lineRule="exact"/>
        <w:ind w:left="144"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El contrato de concesión de servicios públicos configura la contratación de un modo de gestión del servicio público que consiste en confiar a un particular la operación o ejecución del servicio público, pero sin traspasar el ejercicio de potestades públicas, es una forma de gestión indirecta, para asegurar el funcionamiento de los servicios públicos.</w:t>
      </w:r>
    </w:p>
    <w:p w:rsidR="002D7F60" w:rsidRDefault="00862AF8">
      <w:pPr>
        <w:kinsoku w:val="0"/>
        <w:overflowPunct w:val="0"/>
        <w:autoSpaceDE/>
        <w:autoSpaceDN/>
        <w:adjustRightInd/>
        <w:spacing w:before="287" w:line="266" w:lineRule="exact"/>
        <w:ind w:left="144"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contrato de concesión lo otorga la Administración a particulares o a empresas; para la prestación del servicio público del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rsidR="002D7F60" w:rsidRDefault="00862AF8">
      <w:pPr>
        <w:kinsoku w:val="0"/>
        <w:overflowPunct w:val="0"/>
        <w:autoSpaceDE/>
        <w:autoSpaceDN/>
        <w:adjustRightInd/>
        <w:spacing w:before="245" w:line="259" w:lineRule="exact"/>
        <w:ind w:left="144" w:right="72"/>
        <w:jc w:val="both"/>
        <w:textAlignment w:val="baseline"/>
        <w:rPr>
          <w:rFonts w:ascii="Verdana" w:hAnsi="Verdana" w:cs="Verdana"/>
          <w:i/>
          <w:iCs/>
          <w:spacing w:val="-7"/>
          <w:sz w:val="21"/>
          <w:szCs w:val="21"/>
          <w:lang w:val="es-ES" w:eastAsia="es-ES"/>
        </w:rPr>
      </w:pPr>
      <w:r>
        <w:rPr>
          <w:rFonts w:ascii="Verdana" w:hAnsi="Verdana" w:cs="Verdana"/>
          <w:spacing w:val="-7"/>
          <w:sz w:val="21"/>
          <w:szCs w:val="21"/>
          <w:lang w:val="es-ES" w:eastAsia="es-ES"/>
        </w:rPr>
        <w:t xml:space="preserve">El contrato administrativo, señala Dromi, </w:t>
      </w:r>
      <w:r>
        <w:rPr>
          <w:rFonts w:ascii="Verdana" w:hAnsi="Verdana" w:cs="Verdana"/>
          <w:spacing w:val="-7"/>
          <w:sz w:val="21"/>
          <w:szCs w:val="21"/>
          <w:u w:val="single"/>
          <w:lang w:val="es-ES" w:eastAsia="es-ES"/>
        </w:rPr>
        <w:t>en el Manual de Derecho Administrativo,</w:t>
      </w:r>
      <w:r>
        <w:rPr>
          <w:rFonts w:ascii="Verdana" w:hAnsi="Verdana" w:cs="Verdana"/>
          <w:spacing w:val="-7"/>
          <w:sz w:val="21"/>
          <w:szCs w:val="21"/>
          <w:lang w:val="es-ES" w:eastAsia="es-ES"/>
        </w:rPr>
        <w:t xml:space="preserve"> Tomo I, que </w:t>
      </w:r>
      <w:r>
        <w:rPr>
          <w:rFonts w:ascii="Verdana" w:hAnsi="Verdana" w:cs="Verdana"/>
          <w:i/>
          <w:iCs/>
          <w:spacing w:val="-7"/>
          <w:sz w:val="21"/>
          <w:szCs w:val="21"/>
          <w:lang w:val="es-ES" w:eastAsia="es-ES"/>
        </w:rPr>
        <w:t>"El contrato es una de las técnicas de colaboración de los administrados con la</w:t>
      </w:r>
    </w:p>
    <w:p w:rsidR="002D7F60" w:rsidRDefault="002D7F60">
      <w:pPr>
        <w:widowControl/>
        <w:rPr>
          <w:sz w:val="24"/>
          <w:szCs w:val="24"/>
        </w:rPr>
        <w:sectPr w:rsidR="002D7F60">
          <w:pgSz w:w="12134" w:h="15840"/>
          <w:pgMar w:top="1420" w:right="1448" w:bottom="224" w:left="1626" w:header="720" w:footer="720" w:gutter="0"/>
          <w:cols w:space="720"/>
          <w:noEndnote/>
        </w:sectPr>
      </w:pPr>
    </w:p>
    <w:p w:rsidR="002D7F60" w:rsidRDefault="00862AF8">
      <w:pPr>
        <w:kinsoku w:val="0"/>
        <w:overflowPunct w:val="0"/>
        <w:autoSpaceDE/>
        <w:autoSpaceDN/>
        <w:adjustRightInd/>
        <w:spacing w:before="21" w:line="255" w:lineRule="exact"/>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 xml:space="preserve">Administración, en materia de suministros, servicios públicos, obras públicas, etcétera. Quien contrata con </w:t>
      </w:r>
      <w:r>
        <w:rPr>
          <w:rFonts w:ascii="Arial Narrow" w:hAnsi="Arial Narrow" w:cs="Arial Narrow"/>
          <w:b/>
          <w:bCs/>
          <w:i/>
          <w:iCs/>
          <w:spacing w:val="-10"/>
          <w:sz w:val="23"/>
          <w:szCs w:val="23"/>
          <w:lang w:val="es-ES" w:eastAsia="es-ES"/>
        </w:rPr>
        <w:t xml:space="preserve">la </w:t>
      </w:r>
      <w:r>
        <w:rPr>
          <w:rFonts w:ascii="Verdana" w:hAnsi="Verdana" w:cs="Verdana"/>
          <w:i/>
          <w:iCs/>
          <w:spacing w:val="-10"/>
          <w:sz w:val="21"/>
          <w:szCs w:val="21"/>
          <w:lang w:val="es-ES" w:eastAsia="es-ES"/>
        </w:rPr>
        <w:t xml:space="preserve">Administración, no es un cocontratante ordinario, sino un colaborador que coopera en la ejecución de cometidos públicos, aun actuando en situaciones de subordinación económica jurídica respecto de las personas públicas comitentes. En tal sentido la jurisprudencia ha </w:t>
      </w:r>
      <w:proofErr w:type="gramStart"/>
      <w:r>
        <w:rPr>
          <w:rFonts w:ascii="Verdana" w:hAnsi="Verdana" w:cs="Verdana"/>
          <w:i/>
          <w:iCs/>
          <w:spacing w:val="-10"/>
          <w:sz w:val="21"/>
          <w:szCs w:val="21"/>
          <w:lang w:val="es-ES" w:eastAsia="es-ES"/>
        </w:rPr>
        <w:t>afirmado :</w:t>
      </w:r>
      <w:proofErr w:type="gramEnd"/>
      <w:r>
        <w:rPr>
          <w:rFonts w:ascii="Verdana" w:hAnsi="Verdana" w:cs="Verdana"/>
          <w:i/>
          <w:iCs/>
          <w:spacing w:val="-10"/>
          <w:sz w:val="21"/>
          <w:szCs w:val="21"/>
          <w:lang w:val="es-ES" w:eastAsia="es-ES"/>
        </w:rPr>
        <w:t>"Los contratos administrativos deben cumplirse de buena fe por lo que no debe tratarse al contratista como un adversario al que sea preciso someter con dureza, sino que debe tenérsele como un colaboradora quien, cuando menos, corresponde indicarle con certeza las obligaciones a las que está sujeto....."</w:t>
      </w:r>
    </w:p>
    <w:p w:rsidR="002D7F60" w:rsidRDefault="00862AF8">
      <w:pPr>
        <w:kinsoku w:val="0"/>
        <w:overflowPunct w:val="0"/>
        <w:autoSpaceDE/>
        <w:autoSpaceDN/>
        <w:adjustRightInd/>
        <w:spacing w:before="245" w:line="284" w:lineRule="exact"/>
        <w:textAlignment w:val="baseline"/>
        <w:rPr>
          <w:rFonts w:ascii="Garamond" w:hAnsi="Garamond" w:cs="Garamond"/>
          <w:b/>
          <w:bCs/>
          <w:spacing w:val="14"/>
          <w:sz w:val="22"/>
          <w:szCs w:val="22"/>
          <w:lang w:val="es-ES" w:eastAsia="es-ES"/>
        </w:rPr>
      </w:pPr>
      <w:r>
        <w:rPr>
          <w:rFonts w:ascii="Garamond" w:hAnsi="Garamond" w:cs="Garamond"/>
          <w:b/>
          <w:bCs/>
          <w:spacing w:val="14"/>
          <w:sz w:val="22"/>
          <w:szCs w:val="22"/>
          <w:lang w:val="es-ES" w:eastAsia="es-ES"/>
        </w:rPr>
        <w:t>SOBRE LOS PRINCIPIOS DEL SERVICIO PÚBLICO</w:t>
      </w:r>
    </w:p>
    <w:p w:rsidR="002D7F60" w:rsidRDefault="00862AF8">
      <w:pPr>
        <w:kinsoku w:val="0"/>
        <w:overflowPunct w:val="0"/>
        <w:autoSpaceDE/>
        <w:autoSpaceDN/>
        <w:adjustRightInd/>
        <w:spacing w:before="254" w:line="27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Sobre los Principios del Servicio Público, la Sala Primera de la Corte Suprema de Justicia, mediante Sentencia N°000577-F-2007, señaló lo siguiente:</w:t>
      </w:r>
    </w:p>
    <w:p w:rsidR="002D7F60" w:rsidRDefault="00862AF8">
      <w:pPr>
        <w:kinsoku w:val="0"/>
        <w:overflowPunct w:val="0"/>
        <w:autoSpaceDE/>
        <w:autoSpaceDN/>
        <w:adjustRightInd/>
        <w:spacing w:before="151" w:after="493" w:line="195" w:lineRule="exact"/>
        <w:ind w:left="1368" w:right="1224"/>
        <w:jc w:val="both"/>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w:t>
      </w:r>
      <w:proofErr w:type="gramStart"/>
      <w:r>
        <w:rPr>
          <w:rFonts w:ascii="Verdana" w:hAnsi="Verdana" w:cs="Verdana"/>
          <w:spacing w:val="-1"/>
          <w:sz w:val="16"/>
          <w:szCs w:val="16"/>
          <w:lang w:val="es-ES" w:eastAsia="es-ES"/>
        </w:rPr>
        <w:t>que</w:t>
      </w:r>
      <w:proofErr w:type="gramEnd"/>
      <w:r>
        <w:rPr>
          <w:rFonts w:ascii="Verdana" w:hAnsi="Verdana" w:cs="Verdana"/>
          <w:spacing w:val="-1"/>
          <w:sz w:val="16"/>
          <w:szCs w:val="16"/>
          <w:lang w:val="es-ES" w:eastAsia="es-ES"/>
        </w:rPr>
        <w:t xml:space="preserve"> por tal, deben ser objeto de una cobertura eficiente, igualitaria, continua y adaptable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 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w:t>
      </w:r>
    </w:p>
    <w:p w:rsidR="002D7F60" w:rsidRDefault="002D7F60">
      <w:pPr>
        <w:widowControl/>
        <w:rPr>
          <w:sz w:val="24"/>
          <w:szCs w:val="24"/>
        </w:rPr>
        <w:sectPr w:rsidR="002D7F60">
          <w:pgSz w:w="12134" w:h="15840"/>
          <w:pgMar w:top="1520" w:right="1434" w:bottom="200" w:left="1780" w:header="720" w:footer="720" w:gutter="0"/>
          <w:cols w:space="720"/>
          <w:noEndnote/>
        </w:sectPr>
      </w:pPr>
    </w:p>
    <w:p w:rsidR="002D7F60" w:rsidRDefault="002D7F60">
      <w:pPr>
        <w:widowControl/>
        <w:rPr>
          <w:sz w:val="24"/>
          <w:szCs w:val="24"/>
        </w:rPr>
        <w:sectPr w:rsidR="002D7F60">
          <w:type w:val="continuous"/>
          <w:pgSz w:w="12134" w:h="15840"/>
          <w:pgMar w:top="1520" w:right="1403" w:bottom="200" w:left="7471" w:header="720" w:footer="720" w:gutter="0"/>
          <w:cols w:space="720"/>
          <w:noEndnote/>
        </w:sectPr>
      </w:pPr>
    </w:p>
    <w:p w:rsidR="002D7F60" w:rsidRDefault="00862AF8">
      <w:pPr>
        <w:kinsoku w:val="0"/>
        <w:overflowPunct w:val="0"/>
        <w:autoSpaceDE/>
        <w:autoSpaceDN/>
        <w:adjustRightInd/>
        <w:spacing w:before="58" w:line="194" w:lineRule="exact"/>
        <w:ind w:left="1296" w:right="1368"/>
        <w:jc w:val="both"/>
        <w:textAlignment w:val="baseline"/>
        <w:rPr>
          <w:rFonts w:ascii="Verdana" w:hAnsi="Verdana" w:cs="Verdana"/>
          <w:spacing w:val="-2"/>
          <w:sz w:val="16"/>
          <w:szCs w:val="16"/>
          <w:lang w:val="es-ES" w:eastAsia="es-ES"/>
        </w:rPr>
      </w:pPr>
      <w:r>
        <w:rPr>
          <w:rFonts w:ascii="Verdana" w:hAnsi="Verdana" w:cs="Verdana"/>
          <w:spacing w:val="-2"/>
          <w:sz w:val="16"/>
          <w:szCs w:val="16"/>
          <w:lang w:val="es-ES" w:eastAsia="es-ES"/>
        </w:rPr>
        <w:lastRenderedPageBreak/>
        <w:t xml:space="preserve">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último señaló en lo relevante: </w:t>
      </w:r>
      <w:r>
        <w:rPr>
          <w:rFonts w:ascii="Verdana" w:hAnsi="Verdana" w:cs="Verdana"/>
          <w:i/>
          <w:iCs/>
          <w:spacing w:val="-2"/>
          <w:sz w:val="16"/>
          <w:szCs w:val="16"/>
          <w:lang w:val="es-ES" w:eastAsia="es-ES"/>
        </w:rPr>
        <w:t xml:space="preserve">"Desde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w:t>
      </w:r>
      <w:r>
        <w:rPr>
          <w:rFonts w:ascii="Verdana" w:hAnsi="Verdana" w:cs="Verdana"/>
          <w:spacing w:val="-2"/>
          <w:sz w:val="16"/>
          <w:szCs w:val="16"/>
          <w:lang w:val="es-ES" w:eastAsia="es-ES"/>
        </w:rPr>
        <w:t xml:space="preserve">a </w:t>
      </w:r>
      <w:r>
        <w:rPr>
          <w:rFonts w:ascii="Verdana" w:hAnsi="Verdana" w:cs="Verdana"/>
          <w:i/>
          <w:iCs/>
          <w:spacing w:val="-2"/>
          <w:sz w:val="16"/>
          <w:szCs w:val="16"/>
          <w:lang w:val="es-ES" w:eastAsia="es-ES"/>
        </w:rPr>
        <w:t xml:space="preserve">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 </w:t>
      </w:r>
      <w:r>
        <w:rPr>
          <w:rFonts w:ascii="Verdana" w:hAnsi="Verdana" w:cs="Verdana"/>
          <w:spacing w:val="-2"/>
          <w:sz w:val="16"/>
          <w:szCs w:val="16"/>
          <w:lang w:val="es-ES" w:eastAsia="es-ES"/>
        </w:rPr>
        <w:t xml:space="preserve">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w:t>
      </w:r>
      <w:proofErr w:type="gramStart"/>
      <w:r>
        <w:rPr>
          <w:rFonts w:ascii="Verdana" w:hAnsi="Verdana" w:cs="Verdana"/>
          <w:spacing w:val="-2"/>
          <w:sz w:val="16"/>
          <w:szCs w:val="16"/>
          <w:lang w:val="es-ES" w:eastAsia="es-ES"/>
        </w:rPr>
        <w:t>que</w:t>
      </w:r>
      <w:proofErr w:type="gramEnd"/>
      <w:r>
        <w:rPr>
          <w:rFonts w:ascii="Verdana" w:hAnsi="Verdana" w:cs="Verdana"/>
          <w:spacing w:val="-2"/>
          <w:sz w:val="16"/>
          <w:szCs w:val="16"/>
          <w:lang w:val="es-ES" w:eastAsia="es-ES"/>
        </w:rPr>
        <w:t xml:space="preserve"> en orden a la convergencia de los diversos intereses en juego, debe ser justa y equilibrada, de manera que se permita al operador obtener una ganancia, y al usuario pagar lo debido por un servicio</w:t>
      </w:r>
    </w:p>
    <w:p w:rsidR="002D7F60" w:rsidRDefault="00862AF8">
      <w:pPr>
        <w:tabs>
          <w:tab w:val="left" w:leader="dot" w:pos="2376"/>
        </w:tabs>
        <w:kinsoku w:val="0"/>
        <w:overflowPunct w:val="0"/>
        <w:autoSpaceDE/>
        <w:autoSpaceDN/>
        <w:adjustRightInd/>
        <w:spacing w:line="191" w:lineRule="exact"/>
        <w:ind w:left="1296"/>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t>de calidad</w:t>
      </w:r>
      <w:r>
        <w:rPr>
          <w:rFonts w:ascii="Verdana" w:hAnsi="Verdana" w:cs="Verdana"/>
          <w:spacing w:val="-1"/>
          <w:sz w:val="16"/>
          <w:szCs w:val="16"/>
          <w:lang w:val="es-ES" w:eastAsia="es-ES"/>
        </w:rPr>
        <w:tab/>
        <w:t>"</w:t>
      </w:r>
    </w:p>
    <w:p w:rsidR="002D7F60" w:rsidRDefault="00862AF8">
      <w:pPr>
        <w:kinsoku w:val="0"/>
        <w:overflowPunct w:val="0"/>
        <w:autoSpaceDE/>
        <w:autoSpaceDN/>
        <w:adjustRightInd/>
        <w:spacing w:before="390" w:line="311" w:lineRule="exact"/>
        <w:ind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De lo anterior se desprende que la concesión, no es un bien que se encuentra a la libre disposición del concesionario, no puede ser vendido, no puede tampoco ser cedido o traspasado, sino opera una autorización previa de la Administración y no puede ser heredado, pues no constituye un patrimonio del causante, como si lo es el vehículo con el que se presta la misma, el cual si es patrimonio del concesionario fallecido, por lo anterior y para dar la posibilidad a los familiares, se modifica mediante la Ley 9027 la Ley 7969 y se le adiciona el numeral 42 bis, con el fin de que se pueda dar el traspaso mortis causa en caso de muerte del concesionario, pero este debió haber designado un beneficiario propietario y uno suplente, lo que en la especie no sucedido.</w:t>
      </w:r>
    </w:p>
    <w:p w:rsidR="002D7F60" w:rsidRDefault="00862AF8">
      <w:pPr>
        <w:kinsoku w:val="0"/>
        <w:overflowPunct w:val="0"/>
        <w:autoSpaceDE/>
        <w:autoSpaceDN/>
        <w:adjustRightInd/>
        <w:spacing w:before="274" w:line="320"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debe rechazarse el Recurso de Apelación presentado por las razones indicadas supra.</w:t>
      </w:r>
    </w:p>
    <w:p w:rsidR="002D7F60" w:rsidRDefault="002D7F60">
      <w:pPr>
        <w:widowControl/>
        <w:rPr>
          <w:sz w:val="24"/>
          <w:szCs w:val="24"/>
        </w:rPr>
        <w:sectPr w:rsidR="002D7F60">
          <w:pgSz w:w="12134" w:h="15840"/>
          <w:pgMar w:top="1420" w:right="1515" w:bottom="224" w:left="1699" w:header="720" w:footer="720" w:gutter="0"/>
          <w:cols w:space="720"/>
          <w:noEndnote/>
        </w:sectPr>
      </w:pPr>
    </w:p>
    <w:p w:rsidR="00E12BF5" w:rsidRDefault="00E12BF5">
      <w:pPr>
        <w:kinsoku w:val="0"/>
        <w:overflowPunct w:val="0"/>
        <w:autoSpaceDE/>
        <w:autoSpaceDN/>
        <w:adjustRightInd/>
        <w:spacing w:before="20" w:after="335" w:line="271" w:lineRule="exact"/>
        <w:jc w:val="center"/>
        <w:textAlignment w:val="baseline"/>
        <w:rPr>
          <w:rFonts w:ascii="Arial" w:hAnsi="Arial" w:cs="Arial"/>
          <w:b/>
          <w:bCs/>
          <w:spacing w:val="-3"/>
          <w:sz w:val="25"/>
          <w:szCs w:val="25"/>
          <w:lang w:val="es-ES" w:eastAsia="es-ES"/>
        </w:rPr>
      </w:pPr>
    </w:p>
    <w:p w:rsidR="00E12BF5" w:rsidRDefault="00E12BF5">
      <w:pPr>
        <w:kinsoku w:val="0"/>
        <w:overflowPunct w:val="0"/>
        <w:autoSpaceDE/>
        <w:autoSpaceDN/>
        <w:adjustRightInd/>
        <w:spacing w:before="20" w:after="335" w:line="271" w:lineRule="exact"/>
        <w:jc w:val="center"/>
        <w:textAlignment w:val="baseline"/>
        <w:rPr>
          <w:rFonts w:ascii="Arial" w:hAnsi="Arial" w:cs="Arial"/>
          <w:b/>
          <w:bCs/>
          <w:spacing w:val="-3"/>
          <w:sz w:val="25"/>
          <w:szCs w:val="25"/>
          <w:lang w:val="es-ES" w:eastAsia="es-ES"/>
        </w:rPr>
      </w:pPr>
    </w:p>
    <w:p w:rsidR="00E12BF5" w:rsidRDefault="00E12BF5">
      <w:pPr>
        <w:kinsoku w:val="0"/>
        <w:overflowPunct w:val="0"/>
        <w:autoSpaceDE/>
        <w:autoSpaceDN/>
        <w:adjustRightInd/>
        <w:spacing w:before="20" w:after="335" w:line="271" w:lineRule="exact"/>
        <w:jc w:val="center"/>
        <w:textAlignment w:val="baseline"/>
        <w:rPr>
          <w:rFonts w:ascii="Arial" w:hAnsi="Arial" w:cs="Arial"/>
          <w:b/>
          <w:bCs/>
          <w:spacing w:val="-3"/>
          <w:sz w:val="25"/>
          <w:szCs w:val="25"/>
          <w:lang w:val="es-ES" w:eastAsia="es-ES"/>
        </w:rPr>
      </w:pPr>
    </w:p>
    <w:p w:rsidR="00E12BF5" w:rsidRDefault="00E12BF5">
      <w:pPr>
        <w:kinsoku w:val="0"/>
        <w:overflowPunct w:val="0"/>
        <w:autoSpaceDE/>
        <w:autoSpaceDN/>
        <w:adjustRightInd/>
        <w:spacing w:before="20" w:after="335" w:line="271" w:lineRule="exact"/>
        <w:jc w:val="center"/>
        <w:textAlignment w:val="baseline"/>
        <w:rPr>
          <w:rFonts w:ascii="Arial" w:hAnsi="Arial" w:cs="Arial"/>
          <w:b/>
          <w:bCs/>
          <w:spacing w:val="-3"/>
          <w:sz w:val="25"/>
          <w:szCs w:val="25"/>
          <w:lang w:val="es-ES" w:eastAsia="es-ES"/>
        </w:rPr>
      </w:pPr>
    </w:p>
    <w:p w:rsidR="00E12BF5" w:rsidRDefault="00E12BF5">
      <w:pPr>
        <w:kinsoku w:val="0"/>
        <w:overflowPunct w:val="0"/>
        <w:autoSpaceDE/>
        <w:autoSpaceDN/>
        <w:adjustRightInd/>
        <w:spacing w:before="20" w:after="335" w:line="271" w:lineRule="exact"/>
        <w:jc w:val="center"/>
        <w:textAlignment w:val="baseline"/>
        <w:rPr>
          <w:rFonts w:ascii="Arial" w:hAnsi="Arial" w:cs="Arial"/>
          <w:b/>
          <w:bCs/>
          <w:spacing w:val="-3"/>
          <w:sz w:val="25"/>
          <w:szCs w:val="25"/>
          <w:lang w:val="es-ES" w:eastAsia="es-ES"/>
        </w:rPr>
      </w:pPr>
    </w:p>
    <w:p w:rsidR="002D7F60" w:rsidRDefault="00862AF8">
      <w:pPr>
        <w:kinsoku w:val="0"/>
        <w:overflowPunct w:val="0"/>
        <w:autoSpaceDE/>
        <w:autoSpaceDN/>
        <w:adjustRightInd/>
        <w:spacing w:before="20" w:after="335" w:line="271" w:lineRule="exact"/>
        <w:jc w:val="center"/>
        <w:textAlignment w:val="baseline"/>
        <w:rPr>
          <w:rFonts w:ascii="Arial" w:hAnsi="Arial" w:cs="Arial"/>
          <w:b/>
          <w:bCs/>
          <w:spacing w:val="-3"/>
          <w:sz w:val="25"/>
          <w:szCs w:val="25"/>
          <w:lang w:val="es-ES" w:eastAsia="es-ES"/>
        </w:rPr>
      </w:pPr>
      <w:r>
        <w:rPr>
          <w:rFonts w:ascii="Arial" w:hAnsi="Arial" w:cs="Arial"/>
          <w:b/>
          <w:bCs/>
          <w:spacing w:val="-3"/>
          <w:sz w:val="25"/>
          <w:szCs w:val="25"/>
          <w:lang w:val="es-ES" w:eastAsia="es-ES"/>
        </w:rPr>
        <w:lastRenderedPageBreak/>
        <w:t>POR TANTO</w:t>
      </w:r>
    </w:p>
    <w:p w:rsidR="002D7F60" w:rsidRPr="001772A0" w:rsidRDefault="00862AF8">
      <w:pPr>
        <w:numPr>
          <w:ilvl w:val="0"/>
          <w:numId w:val="1"/>
        </w:numPr>
        <w:kinsoku w:val="0"/>
        <w:overflowPunct w:val="0"/>
        <w:autoSpaceDE/>
        <w:autoSpaceDN/>
        <w:adjustRightInd/>
        <w:spacing w:line="269" w:lineRule="exact"/>
        <w:jc w:val="both"/>
        <w:textAlignment w:val="baseline"/>
        <w:rPr>
          <w:rFonts w:ascii="Arial" w:hAnsi="Arial" w:cs="Arial"/>
          <w:bCs/>
          <w:spacing w:val="-6"/>
          <w:sz w:val="25"/>
          <w:szCs w:val="25"/>
          <w:lang w:val="es-ES" w:eastAsia="es-ES"/>
        </w:rPr>
      </w:pPr>
      <w:r w:rsidRPr="001772A0">
        <w:rPr>
          <w:rFonts w:ascii="Arial" w:hAnsi="Arial" w:cs="Arial"/>
          <w:bCs/>
          <w:spacing w:val="-6"/>
          <w:sz w:val="25"/>
          <w:szCs w:val="25"/>
          <w:lang w:val="es-ES" w:eastAsia="es-ES"/>
        </w:rPr>
        <w:t>Se rechaza por Falta de Legitimación</w:t>
      </w:r>
      <w:r>
        <w:rPr>
          <w:rFonts w:ascii="Arial" w:hAnsi="Arial" w:cs="Arial"/>
          <w:b/>
          <w:bCs/>
          <w:spacing w:val="-6"/>
          <w:sz w:val="25"/>
          <w:szCs w:val="25"/>
          <w:lang w:val="es-ES" w:eastAsia="es-ES"/>
        </w:rPr>
        <w:t xml:space="preserve"> el </w:t>
      </w:r>
      <w:r>
        <w:rPr>
          <w:rFonts w:ascii="Arial" w:hAnsi="Arial" w:cs="Arial"/>
          <w:b/>
          <w:bCs/>
          <w:spacing w:val="-6"/>
          <w:sz w:val="21"/>
          <w:szCs w:val="21"/>
          <w:lang w:val="es-ES" w:eastAsia="es-ES"/>
        </w:rPr>
        <w:t xml:space="preserve">RECURSO DE APELACIÓN EN SUBSIDIO Y NULIDAD CONCOMITANTE, </w:t>
      </w:r>
      <w:r w:rsidRPr="001772A0">
        <w:rPr>
          <w:rFonts w:ascii="Arial" w:hAnsi="Arial" w:cs="Arial"/>
          <w:bCs/>
          <w:spacing w:val="-6"/>
          <w:sz w:val="25"/>
          <w:szCs w:val="25"/>
          <w:lang w:val="es-ES" w:eastAsia="es-ES"/>
        </w:rPr>
        <w:t>interpuesto por la señora</w:t>
      </w:r>
      <w:r>
        <w:rPr>
          <w:rFonts w:ascii="Arial" w:hAnsi="Arial" w:cs="Arial"/>
          <w:b/>
          <w:bCs/>
          <w:spacing w:val="-6"/>
          <w:sz w:val="25"/>
          <w:szCs w:val="25"/>
          <w:lang w:val="es-ES" w:eastAsia="es-ES"/>
        </w:rPr>
        <w:t xml:space="preserve"> S</w:t>
      </w:r>
      <w:r w:rsidR="001772A0">
        <w:rPr>
          <w:rFonts w:ascii="Arial" w:hAnsi="Arial" w:cs="Arial"/>
          <w:b/>
          <w:bCs/>
          <w:spacing w:val="-6"/>
          <w:sz w:val="25"/>
          <w:szCs w:val="25"/>
          <w:lang w:val="es-ES" w:eastAsia="es-ES"/>
        </w:rPr>
        <w:t>.S.C.M.</w:t>
      </w:r>
      <w:r>
        <w:rPr>
          <w:rFonts w:ascii="Arial" w:hAnsi="Arial" w:cs="Arial"/>
          <w:b/>
          <w:bCs/>
          <w:spacing w:val="-6"/>
          <w:sz w:val="25"/>
          <w:szCs w:val="25"/>
          <w:lang w:val="es-ES" w:eastAsia="es-ES"/>
        </w:rPr>
        <w:t xml:space="preserve">, cédula de identidad </w:t>
      </w:r>
      <w:r w:rsidR="001772A0">
        <w:rPr>
          <w:rFonts w:ascii="Arial" w:hAnsi="Arial" w:cs="Arial"/>
          <w:b/>
          <w:bCs/>
          <w:spacing w:val="-6"/>
          <w:sz w:val="25"/>
          <w:szCs w:val="25"/>
          <w:lang w:val="es-ES" w:eastAsia="es-ES"/>
        </w:rPr>
        <w:t>…</w:t>
      </w:r>
      <w:r>
        <w:rPr>
          <w:rFonts w:ascii="Arial" w:hAnsi="Arial" w:cs="Arial"/>
          <w:b/>
          <w:bCs/>
          <w:spacing w:val="-6"/>
          <w:sz w:val="25"/>
          <w:szCs w:val="25"/>
          <w:lang w:val="es-ES" w:eastAsia="es-ES"/>
        </w:rPr>
        <w:t xml:space="preserve"> y Y</w:t>
      </w:r>
      <w:r w:rsidR="001772A0">
        <w:rPr>
          <w:rFonts w:ascii="Arial" w:hAnsi="Arial" w:cs="Arial"/>
          <w:b/>
          <w:bCs/>
          <w:spacing w:val="-6"/>
          <w:sz w:val="25"/>
          <w:szCs w:val="25"/>
          <w:lang w:val="es-ES" w:eastAsia="es-ES"/>
        </w:rPr>
        <w:t>.I.M.M.</w:t>
      </w:r>
      <w:r>
        <w:rPr>
          <w:rFonts w:ascii="Arial" w:hAnsi="Arial" w:cs="Arial"/>
          <w:b/>
          <w:bCs/>
          <w:spacing w:val="-6"/>
          <w:sz w:val="25"/>
          <w:szCs w:val="25"/>
          <w:lang w:val="es-ES" w:eastAsia="es-ES"/>
        </w:rPr>
        <w:t xml:space="preserve">, cédula de identidad </w:t>
      </w:r>
      <w:r w:rsidR="001772A0">
        <w:rPr>
          <w:rFonts w:ascii="Arial" w:hAnsi="Arial" w:cs="Arial"/>
          <w:b/>
          <w:bCs/>
          <w:spacing w:val="-6"/>
          <w:sz w:val="25"/>
          <w:szCs w:val="25"/>
          <w:lang w:val="es-ES" w:eastAsia="es-ES"/>
        </w:rPr>
        <w:t>…</w:t>
      </w:r>
      <w:r>
        <w:rPr>
          <w:rFonts w:ascii="Arial" w:hAnsi="Arial" w:cs="Arial"/>
          <w:b/>
          <w:bCs/>
          <w:spacing w:val="-6"/>
          <w:sz w:val="25"/>
          <w:szCs w:val="25"/>
          <w:lang w:val="es-ES" w:eastAsia="es-ES"/>
        </w:rPr>
        <w:t xml:space="preserve">, </w:t>
      </w:r>
      <w:r w:rsidRPr="001772A0">
        <w:rPr>
          <w:rFonts w:ascii="Arial" w:hAnsi="Arial" w:cs="Arial"/>
          <w:bCs/>
          <w:spacing w:val="-6"/>
          <w:sz w:val="25"/>
          <w:szCs w:val="25"/>
          <w:lang w:val="es-ES" w:eastAsia="es-ES"/>
        </w:rPr>
        <w:t>contra el</w:t>
      </w:r>
      <w:r>
        <w:rPr>
          <w:rFonts w:ascii="Arial" w:hAnsi="Arial" w:cs="Arial"/>
          <w:b/>
          <w:bCs/>
          <w:spacing w:val="-6"/>
          <w:sz w:val="25"/>
          <w:szCs w:val="25"/>
          <w:lang w:val="es-ES" w:eastAsia="es-ES"/>
        </w:rPr>
        <w:t xml:space="preserve"> Artículo 7.5.1 de la Sesión Ordinaria 03-2017 de 1 de febrero de 2017 </w:t>
      </w:r>
      <w:r w:rsidRPr="001772A0">
        <w:rPr>
          <w:rFonts w:ascii="Arial" w:hAnsi="Arial" w:cs="Arial"/>
          <w:bCs/>
          <w:spacing w:val="-6"/>
          <w:sz w:val="25"/>
          <w:szCs w:val="25"/>
          <w:lang w:val="es-ES" w:eastAsia="es-ES"/>
        </w:rPr>
        <w:t xml:space="preserve">dictado por la </w:t>
      </w:r>
      <w:r w:rsidRPr="001772A0">
        <w:rPr>
          <w:rFonts w:ascii="Arial" w:hAnsi="Arial" w:cs="Arial"/>
          <w:spacing w:val="-6"/>
          <w:sz w:val="19"/>
          <w:szCs w:val="19"/>
          <w:lang w:val="es-ES" w:eastAsia="es-ES"/>
        </w:rPr>
        <w:t>JUNTA DIRECTIVA DEL CONSEJO DE TRANSPORTE PÚBLICO</w:t>
      </w:r>
      <w:r>
        <w:rPr>
          <w:rFonts w:ascii="Arial" w:hAnsi="Arial" w:cs="Arial"/>
          <w:b/>
          <w:bCs/>
          <w:spacing w:val="-6"/>
          <w:sz w:val="25"/>
          <w:szCs w:val="25"/>
          <w:lang w:val="es-ES" w:eastAsia="es-ES"/>
        </w:rPr>
        <w:t xml:space="preserve">, </w:t>
      </w:r>
      <w:r w:rsidRPr="001772A0">
        <w:rPr>
          <w:rFonts w:ascii="Arial" w:hAnsi="Arial" w:cs="Arial"/>
          <w:bCs/>
          <w:spacing w:val="-6"/>
          <w:sz w:val="25"/>
          <w:szCs w:val="25"/>
          <w:lang w:val="es-ES" w:eastAsia="es-ES"/>
        </w:rPr>
        <w:t>el que se sustentó en el</w:t>
      </w:r>
      <w:r>
        <w:rPr>
          <w:rFonts w:ascii="Arial" w:hAnsi="Arial" w:cs="Arial"/>
          <w:b/>
          <w:bCs/>
          <w:spacing w:val="-6"/>
          <w:sz w:val="25"/>
          <w:szCs w:val="25"/>
          <w:lang w:val="es-ES" w:eastAsia="es-ES"/>
        </w:rPr>
        <w:t xml:space="preserve"> informe DAJ-INF-2016-0113 del 17 de enero de 2017 de la Dirección de Asuntos Jurídicos del CTP, </w:t>
      </w:r>
      <w:r w:rsidRPr="001772A0">
        <w:rPr>
          <w:rFonts w:ascii="Arial" w:hAnsi="Arial" w:cs="Arial"/>
          <w:bCs/>
          <w:spacing w:val="-6"/>
          <w:sz w:val="25"/>
          <w:szCs w:val="25"/>
          <w:lang w:val="es-ES" w:eastAsia="es-ES"/>
        </w:rPr>
        <w:t>el cual se recurre también.</w:t>
      </w:r>
    </w:p>
    <w:p w:rsidR="002D7F60" w:rsidRDefault="00862AF8">
      <w:pPr>
        <w:numPr>
          <w:ilvl w:val="0"/>
          <w:numId w:val="2"/>
        </w:numPr>
        <w:kinsoku w:val="0"/>
        <w:overflowPunct w:val="0"/>
        <w:autoSpaceDE/>
        <w:autoSpaceDN/>
        <w:adjustRightInd/>
        <w:spacing w:before="237" w:after="285" w:line="297" w:lineRule="exact"/>
        <w:jc w:val="both"/>
        <w:textAlignment w:val="baseline"/>
        <w:rPr>
          <w:rFonts w:ascii="Arial" w:hAnsi="Arial" w:cs="Arial"/>
          <w:b/>
          <w:bCs/>
          <w:sz w:val="25"/>
          <w:szCs w:val="25"/>
          <w:lang w:val="es-ES" w:eastAsia="es-ES"/>
        </w:rPr>
      </w:pPr>
      <w:r w:rsidRPr="001772A0">
        <w:rPr>
          <w:rFonts w:ascii="Arial" w:hAnsi="Arial" w:cs="Arial"/>
          <w:bCs/>
          <w:sz w:val="25"/>
          <w:szCs w:val="25"/>
          <w:lang w:val="es-ES" w:eastAsia="es-ES"/>
        </w:rPr>
        <w:t>De conformidad con el artículo 22, inciso c), de la citada Ley 7969, la presente resolución no tiene ulterior recurso por lo que</w:t>
      </w:r>
      <w:r>
        <w:rPr>
          <w:rFonts w:ascii="Arial" w:hAnsi="Arial" w:cs="Arial"/>
          <w:b/>
          <w:bCs/>
          <w:sz w:val="25"/>
          <w:szCs w:val="25"/>
          <w:lang w:val="es-ES" w:eastAsia="es-ES"/>
        </w:rPr>
        <w:t xml:space="preserve">, se </w:t>
      </w:r>
      <w:r>
        <w:rPr>
          <w:rFonts w:ascii="Arial" w:hAnsi="Arial" w:cs="Arial"/>
          <w:b/>
          <w:bCs/>
          <w:i/>
          <w:iCs/>
          <w:sz w:val="25"/>
          <w:szCs w:val="25"/>
          <w:lang w:val="es-ES" w:eastAsia="es-ES"/>
        </w:rPr>
        <w:t xml:space="preserve">tiene por agotada la vía administrativa. </w:t>
      </w:r>
      <w:r>
        <w:rPr>
          <w:rFonts w:ascii="Arial" w:hAnsi="Arial" w:cs="Arial"/>
          <w:b/>
          <w:bCs/>
          <w:sz w:val="25"/>
          <w:szCs w:val="25"/>
          <w:lang w:val="es-ES" w:eastAsia="es-ES"/>
        </w:rPr>
        <w:t>NOTIFIQUESE. -</w:t>
      </w:r>
    </w:p>
    <w:p w:rsidR="002D7F60" w:rsidRDefault="002D7F60">
      <w:pPr>
        <w:widowControl/>
        <w:rPr>
          <w:sz w:val="24"/>
          <w:szCs w:val="24"/>
        </w:rPr>
      </w:pPr>
    </w:p>
    <w:p w:rsidR="001772A0" w:rsidRDefault="001772A0">
      <w:pPr>
        <w:widowControl/>
        <w:rPr>
          <w:sz w:val="24"/>
          <w:szCs w:val="24"/>
        </w:rPr>
      </w:pPr>
    </w:p>
    <w:p w:rsidR="001772A0" w:rsidRPr="00CF40A0" w:rsidRDefault="001772A0" w:rsidP="001772A0">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1772A0" w:rsidRDefault="001772A0" w:rsidP="001772A0">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1772A0" w:rsidRDefault="001772A0" w:rsidP="001772A0">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772A0" w:rsidRDefault="001772A0" w:rsidP="001772A0">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p>
    <w:p w:rsidR="002D7F60" w:rsidRDefault="002D7F60">
      <w:pPr>
        <w:kinsoku w:val="0"/>
        <w:overflowPunct w:val="0"/>
        <w:autoSpaceDE/>
        <w:autoSpaceDN/>
        <w:adjustRightInd/>
        <w:spacing w:before="8966" w:line="288" w:lineRule="exact"/>
        <w:textAlignment w:val="baseline"/>
        <w:rPr>
          <w:sz w:val="24"/>
          <w:szCs w:val="24"/>
        </w:rPr>
        <w:sectPr w:rsidR="002D7F60">
          <w:type w:val="continuous"/>
          <w:pgSz w:w="12134" w:h="15840"/>
          <w:pgMar w:top="1620" w:right="1367" w:bottom="210" w:left="1752" w:header="720" w:footer="720" w:gutter="0"/>
          <w:cols w:space="720"/>
          <w:noEndnote/>
        </w:sectPr>
      </w:pPr>
    </w:p>
    <w:p w:rsidR="00862AF8" w:rsidRDefault="00862AF8" w:rsidP="001772A0">
      <w:pPr>
        <w:tabs>
          <w:tab w:val="right" w:pos="3240"/>
        </w:tabs>
        <w:kinsoku w:val="0"/>
        <w:overflowPunct w:val="0"/>
        <w:autoSpaceDE/>
        <w:autoSpaceDN/>
        <w:adjustRightInd/>
        <w:spacing w:line="254" w:lineRule="exact"/>
        <w:textAlignment w:val="baseline"/>
        <w:rPr>
          <w:rFonts w:ascii="Arial" w:hAnsi="Arial" w:cs="Arial"/>
          <w:sz w:val="19"/>
          <w:szCs w:val="19"/>
          <w:lang w:val="es-ES" w:eastAsia="es-ES"/>
        </w:rPr>
      </w:pPr>
    </w:p>
    <w:sectPr w:rsidR="00862AF8">
      <w:type w:val="continuous"/>
      <w:pgSz w:w="12134" w:h="15840"/>
      <w:pgMar w:top="1620" w:right="1367" w:bottom="210" w:left="75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46B1"/>
    <w:multiLevelType w:val="singleLevel"/>
    <w:tmpl w:val="27D6F88C"/>
    <w:lvl w:ilvl="0">
      <w:start w:val="1"/>
      <w:numFmt w:val="upperRoman"/>
      <w:lvlText w:val="%1.-"/>
      <w:lvlJc w:val="left"/>
      <w:pPr>
        <w:tabs>
          <w:tab w:val="num" w:pos="432"/>
        </w:tabs>
        <w:ind w:left="72"/>
      </w:pPr>
      <w:rPr>
        <w:rFonts w:ascii="Arial" w:hAnsi="Arial" w:cs="Arial"/>
        <w:b/>
        <w:bCs/>
        <w:snapToGrid/>
        <w:spacing w:val="-6"/>
        <w:sz w:val="25"/>
        <w:szCs w:val="25"/>
      </w:rPr>
    </w:lvl>
  </w:abstractNum>
  <w:num w:numId="1">
    <w:abstractNumId w:val="0"/>
  </w:num>
  <w:num w:numId="2">
    <w:abstractNumId w:val="0"/>
    <w:lvlOverride w:ilvl="0">
      <w:lvl w:ilvl="0">
        <w:numFmt w:val="upperRoman"/>
        <w:lvlText w:val="%1.-"/>
        <w:lvlJc w:val="left"/>
        <w:pPr>
          <w:tabs>
            <w:tab w:val="num" w:pos="720"/>
          </w:tabs>
          <w:ind w:left="72"/>
        </w:pPr>
        <w:rPr>
          <w:rFonts w:ascii="Arial" w:hAnsi="Arial" w:cs="Arial"/>
          <w:b/>
          <w:bCs/>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CF"/>
    <w:rsid w:val="001772A0"/>
    <w:rsid w:val="00270E01"/>
    <w:rsid w:val="002D7F60"/>
    <w:rsid w:val="00565BCF"/>
    <w:rsid w:val="00862AF8"/>
    <w:rsid w:val="00E12B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54E67C-97A3-413E-B753-D1FC0884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772A0"/>
    <w:rPr>
      <w:lang w:val="es-CR"/>
    </w:rPr>
  </w:style>
  <w:style w:type="character" w:customStyle="1" w:styleId="CharacterStyle1">
    <w:name w:val="Character Style 1"/>
    <w:uiPriority w:val="99"/>
    <w:rsid w:val="001772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4069</Words>
  <Characters>21214</Characters>
  <Application>Microsoft Office Word</Application>
  <DocSecurity>4</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2019-09-12T18:08:00Z</dcterms:created>
  <dcterms:modified xsi:type="dcterms:W3CDTF">2019-09-12T18:08:00Z</dcterms:modified>
</cp:coreProperties>
</file>